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292/2008 vom 22. August 2008</w:t>
      </w:r>
    </w:p>
    <w:p>
      <w:r>
        <w:t>Bundesgericht, 2008-08-22, DE</w:t>
      </w:r>
    </w:p>
    <w:p>
      <w:r>
        <w:rPr>
          <w:b/>
        </w:rPr>
        <w:t xml:space="preserve">Quelle: </w:t>
      </w:r>
      <w:r>
        <w:t>https://mcp.opencaselaw.ch/entscheid/bger_9C_292_2008</w:t>
      </w:r>
    </w:p>
    <w:p>
      <w:r>
        <w:t>FR: TF 9C 292/2008 du 22 août 2008</w:t>
      </w:r>
    </w:p>
    <w:p>
      <w:r>
        <w:t>IT: TF 9C 292/2008 del 22 agosto 2008</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Nach Art. 23 BVG , in Kraft gestanden bis 31. Dezember 2004, haben Anspruch auf Invalidenleistungen Personen, die im Sinne der IV zu mindestens 50 Prozent invalid sind und bei Eintritt der Arbeitsunfähigkeit, deren Ursache zur Invalidität geführt hat, versichert waren. Laut dem am 1. Januar 2005 in Kraft getretenen Art. 23 lit. a BVG besteht bereits bei einer Invalidität von mindestens 40 Prozent Anspruch auf Invalidenleistungen. Gemäss Art. 26 Abs. 1 BVG gelten für den Beginn des Anspruchs auf Invalidenleistungen sinngemäss die entsprechenden Bestimmungen des Bundesgesetzes vom 19. Juli 1959 über die Invalidenversicherung ( Art. 29 IVG ).</w:t>
      </w:r>
    </w:p>
    <w:p>
      <w:r>
        <w:rPr>
          <w:b/>
        </w:rPr>
        <w:t>E. 2.2</w:t>
      </w:r>
    </w:p>
    <w:p>
      <w:r>
        <w:t>Der Anspruch auf Invalidenleistungen der (obligatorischen) beruflichen Vorsorge setzt weiter einen engen sachlichen und zeitlichen Zusammenhang zwischen der während der Dauer des Vorsorgeverhältnisses (einschliesslich der Nachdeckungsfrist nach Art. 10 Abs. 3 BVG ) bestandenen Arbeitsunfähigkeit und der allenfalls erst später eingetretenen Invalidität voraus ( BGE 130 V 270 E. 4.1 in fine S. 275). Der Gesundheitsschaden, der zur Arbeitsunfähigkeit geführt hat, muss von der Art her im Wesentlichen derselbe sein, der der Erwerbsunfähigkeit zugrunde liegt (sachliche Konnexität).</w:t>
      </w:r>
    </w:p>
    <w:p>
      <w:r>
        <w:rPr>
          <w:b/>
        </w:rPr>
        <w:t>E. 2.2.1</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B 100/02 vom 26. Mai 2003 E. 4.1 und B 18/06 vom 18. Oktober 2006 E. 4.2.1 in fine mit Hinweisen).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aber unwahrscheinlich war ( BGE 123 V 262 E. 1c S. 264, 120 V 112 E. 2c/aa und bb S. 117 f. mit Hinweisen; Urteil B 23/01 vom 21. November 2002 E. 3.3; Jürg Brühwiler, Obligatorische berufliche Vorsorge, in: Schweizerisches Bundesverwaltungsrecht [SBVR]/Soziale Sicherheit, 2. Aufl., Rz. 109 S. 2043; Hans-Ulrich Stauffer, Berufliche Vorsorge, Zürich 2005, S. 279 f.; Isabelle Vetter-Schreiber, Berufliche Vorsorge [Kommentar zum BVG und zu weiteren Erlassen], Zürich 2005, S. 91 f.).</w:t>
      </w:r>
    </w:p>
    <w:p>
      <w:r>
        <w:rPr>
          <w:b/>
        </w:rPr>
        <w:t>E. 2.2.2</w:t>
      </w:r>
    </w:p>
    <w:p>
      <w:r>
        <w:t>Das Bundesgericht hat mit BGE 134 V 20 in Präzisierung der Rechtsprechung entschieden, dass für den Eintritt der Arbeitsunfähigkeit im Sinne von Art. 23 lit. a BVG die Einbusse an funktionellem Leistungsvermögen im bisherigen Beruf massgeblich ist. Der zeitliche Zusammenhang zur später eingetretenen Invalidität als weitere Voraussetzung für den Anspruch auf Invalidenleistungen der damaligen Vorsorgeeinrichtung beurteilt sich hingegen nach der Arbeitsunfähigkeit oder Arbeitsfähigkeit in einer der gesundheitlichen Beeinträchtigung angepassten zumutbaren Tätigkeit. Diese Beschäftigungen müssen jedoch bezogen auf die angestammte Arbeit die Erzielung eines rentenausschliessenden Einkommens erlauben ( BGE 134 V 20 E. 5.3 S. 27).</w:t>
      </w:r>
    </w:p>
    <w:p>
      <w:r>
        <w:rPr>
          <w:b/>
        </w:rPr>
        <w:t>E. 3.1</w:t>
      </w:r>
    </w:p>
    <w:p>
      <w:r>
        <w:t>Wie das kantonale Gericht zutreffend dargelegt hat, ist im hier zu beurteilenden Fall frei und ohne Bindung an die Feststellungen der Invalidenversicherung zu prüfen, ob nach Massgabe der berufsvorsorgerechtlichen Bestimmungen ein Anspruch auf eine Rente besteht ( BGE 129 V 73 ).</w:t>
      </w:r>
    </w:p>
    <w:p>
      <w:r>
        <w:rPr>
          <w:b/>
        </w:rPr>
        <w:t>E. 3.2</w:t>
      </w:r>
    </w:p>
    <w:p>
      <w:r>
        <w:t>Feststellungen der Vorinstanz zur gesundheitlich bedingten Arbeitsunfähigkeit (Eintreten, Grad, Dauer, Prognose etc.) betreffen Tatfragen, soweit sie auf der Würdigung konkreter Umstände beruhen, und sind daher lediglich unter eingeschränktem Blickwinkel überprüfbar ( Art. 97 Abs. 1 BGG sowie Art. 105 Abs. 1 und 2 BGG ; vgl. BGE 132 V 393 E. 3.2 S. 397 f.). Dies gilt auch für den Zeitpunkt des Eintritts des berufsvorsorgerechtlichen Versicherungsfalles, d.h. der Arbeitsunfähigkeit, deren Ursache zur Invalidität geführt hat. Der aus den tatsächlichen Feststellungen gezogene Schluss auf die zeitliche Konnexität ist eine vom Bundesgericht frei überprüfbare Rechtsfrage.</w:t>
      </w:r>
    </w:p>
    <w:p>
      <w:r>
        <w:rPr>
          <w:b/>
        </w:rPr>
        <w:t>E. 4.1</w:t>
      </w:r>
    </w:p>
    <w:p>
      <w:r>
        <w:t>Das kantonale Gericht stellte gestützt auf den Austrittsbericht der Psychiatrischen Klinik Y.________, vom 9. Januar 1999 und den Arztbericht vom 7. Februar 2000 des Dr. med. A.________, Spezialarzt für Innere Medizin, eine vom 19. November 1998 bis 28. Februar 1999 dauernde Arbeitsunfähigkeit fest, was als Entscheid über eine Tatfrage nicht offensichtlich unrichtig ist und daher das Bundesgericht bindet ( Art. 97 Abs. 1, Art. 105 Abs. 1 BGG ). Das Gleiche gilt für die auf der Basis der Berichterstattung der Klinik Y.________ vom 13. Dezember 1999 getroffene Feststellung, der Kläger sei ab 23. September 1999 vollständig arbeitsunfähig gewesen. Die Sammelstiftung rügt den angefochtenen Entscheid hingegen insoweit, als darin ab 1. März bis 22. September 1999 eine uneingeschränkte Arbeitsfähigkeit angenommen wird. Sie bringt vor, es seien keine Arztberichte aktenkundig, die für das Jahr 1999 eine volle Arbeitsfähigkeit auswiesen. Zudem beruft sie sich auf die von Dr. med. A.________ am 11. Januar 2001 abgegebene Prognose, wonach die Entwicklung der Krankheit als eher schlecht zu beurteilen sei. Sie stellt sich insgesamt auf den Standpunkt, die zeitliche Konnexität der im November 1998 eingetretenen Arbeitsunfähigkeit und der Invalidität sei durch die Tätigkeit bei der Firma Y.________ nicht unterbrochen worden.</w:t>
      </w:r>
    </w:p>
    <w:p>
      <w:r>
        <w:rPr>
          <w:b/>
        </w:rPr>
        <w:t>E. 4.2</w:t>
      </w:r>
    </w:p>
    <w:p>
      <w:r>
        <w:t>Aus den Vorbringen der Beschwerdeführerin lässt sich indes nichts für eine qualifiziert unrichtige Sachverhaltsfeststellung durch die Vorinstanz gewinnen. Aus dem angefochtenen Entscheid erhellt, dass die relevante Zeitspanne von November 1998 bis Ende September 1999 mit ärztlichen Arbeitsunfähigkeitsbescheinigungen abgedeckt ist. Nicht offensichtlich falsch stellte das kantonale Gericht unter diesen Umständen die Zeiten der Arbeitsfähigkeit fest, indem es für jene Phasen auf eine durch die Erkrankung nicht eingeschränkte Leistungsfähigkeit erkannt hat, während welchen gemäss den aktenkundigen Arztberichten keine Arbeitsunfähigkeit attestiert worden ist. Weiter führte das Gericht an, es lasse sich den Akten nicht entnehmen, dass trotz vollem Arbeitspensum die Arbeitsleistung nicht zufriedenstellend erbracht worden sei. Auch unter diesem Gesichtswinkel ist die Feststellung einer ab 1. März bis 22. September 1999 bestehenden uneingeschränkten Leistungsfähigkeit nicht zu beanstanden ( Art. 97 Abs. 1 BGG ). In diesem Zusammenhang ist auf die Rechtsprechung hinzuweisen, wonach nur mit äusserster Zurückhaltung auf eine reduzierte Arbeitsfähigkeit geschlossen werden kann, falls eine solche, etwa mit Blick auf einen ungekürzt ausbezahlten Lohn, arbeitsrechtlich nicht in Erscheinung getreten ist (Urteil B 95/06 vom 4. Februar 2008 E. 3.3). Sodann kann aus der von Dr. med. A.________ im Bericht vom 11. Januar 2001 festgehaltenen schlechten Prognose nicht eine Einschränkung in der Leistungsfähigkeit für die Vergangenheit hergeleitet werden. Das Bundesgericht ist daher an die mit angefochtenem Entscheid nicht qualifiziert unrichtig festgestellten Zeiten der Arbeitsfähigkeit gebunden.</w:t>
      </w:r>
    </w:p>
    <w:p>
      <w:r>
        <w:rPr>
          <w:b/>
        </w:rPr>
        <w:t>E. 4.3.1</w:t>
      </w:r>
    </w:p>
    <w:p>
      <w:r>
        <w:t>Das kantonale Gericht verneinte die zeitliche Konnexität namentlich wegen der vom 1. März bis 22. September 1999 gegebenen vollen Arbeitsfähigkeit. Der Versicherte war gemäss den verbindlichen Feststellungen der Vorinstanz während rund sieben Monaten uneingeschränkt arbeitsfähig (vgl. E. 4.2 hievor). Zudem ergibt sich im Rahmen einer ergänzenden Sachverhaltsfeststellung ( Art. 105 Abs. 2 BGG ), dass er dabei eine der Ausbildung entsprechende Arbeit verrichtet hat. Auch wenn er zu Beginn der Anstellung - vom Dezember 1998 bis Ende Februar 1999 - noch nicht eine volle Leistung erbringen konnte und zunächst ein fliessender Übergang von der stationären Behandlung mit teilweiser Arbeitsfähigkeit zu einer ab März 1999 bestehenden vollen Arbeitsfähigkeit stattgefunden hat, war jedenfalls spätestens ab 1. März 1999 ein ordentliches Beschäftigungsverhältnis mit einem vollen Pensum gegeben. Von diesem Zeitpunkt an kann nicht mehr von einem blossen Eingliederungsversuch gesprochen werden und für die Annahme eines aus sozialen Gründen aufrecht erhaltenen Arbeitsverhältnisses besteht kein Anlass (vgl. E. 2.2.1 hievor).</w:t>
      </w:r>
    </w:p>
    <w:p>
      <w:r>
        <w:rPr>
          <w:b/>
        </w:rPr>
        <w:t>E. 4.3.2</w:t>
      </w:r>
    </w:p>
    <w:p>
      <w:r>
        <w:t>Keine Feststellungen hat die Vorinstanz zur prognostischen Beurteilung der Krankheit im Zeitpunkt der uneingeschränkten Aufnahme der Arbeit im März 1999 getroffen. Damit stellte sie indes den rechtserheblichen Sachverhalt nicht unvollständig fest ( Art. 95 lit. a BGG ). Es gilt zu beachten, dass gerade bei Schubkrankheiten - wie der hier in Frage stehenden - kein allzu strenger Massstab an die Beurteilung der zeitlichen Konnexität zu legen ist. Ansonsten hätte regelmässig jene Vorsorgeeinrichtung, die bei Ausbruch der Krankheit leistungspflichtig war, bei späteren invalidisierenden Schüben Rentenleistungen zu erbringen, selbst wenn unter Umständen längere Zeitabschnitte mit wiederhergestellter und in neuen Arbeitsverhältnissen verwerteter Arbeitsfähigkeit dazwischen liegen (Urteil B 95/06 vom 4. Februar 2008 E. 3.4). Der Versicherte hat gemäss den im angefochtenen Entscheid enthaltenen verbindlichen Feststellungen nach Jahren relativer Symptomfreiheit im November 1998 den ersten erheblichen Beschwerdeschub erlitten, welcher eine Arbeitsunfähigkeit zur Folge hatte. Wie weiter oben ausgeführt, war er ab März 1999 bis Ende September desselben Jahres wieder uneingeschränkt arbeitsfähig. Zu diesem Zeitpunkt trat die nächste Verschlechterung des Gesundheitszustandes auf. In Anbetracht der siebenmonatigen Dauer voller Leistungsfähigkeit ist der vorinstanzliche Schluss auf einen Unterbruch der zeitlichen Konnexität auch unter dem Gesichtswinkel der Natur der Erkrankung als Schubkrankheit nicht bundesrechtswidrig, ohne dass der Frage der Prognosestellung zum Verlauf der Krankheit ab 1999 weiter nachzugehen gewesen wäre.</w:t>
      </w:r>
    </w:p>
    <w:p>
      <w:r>
        <w:rPr>
          <w:b/>
        </w:rPr>
        <w:t>E. 5</w:t>
      </w:r>
    </w:p>
    <w:p>
      <w:r>
        <w:t>Die Frage des sachlichen Zusammenhanges der im September 1999 eingetretenen Arbeitsunfähigkeit zur späteren Invalidität liegt nicht im Streit (vgl. E. 2.2 hievor). Ausserdem ist unbestritten, dass der Beschwerdegegner zu dieser Zeit bei der Sammelstiftung gegen die Folgen von Invalidität versichert war. Die Bejahung eines berufsvorsorgerechtlichen Anspruches auf eine Invalidenrente gegenüber der Beschwerdeführerin hält nach dem Gesagten der Überprüfung stand.</w:t>
      </w:r>
    </w:p>
    <w:p>
      <w:r>
        <w:rPr>
          <w:b/>
        </w:rPr>
        <w:t>E. 6</w:t>
      </w:r>
    </w:p>
    <w:p>
      <w:r>
        <w:t>Das Verfahren ist kostenpflichtig (Art. 65 Abs. 1 und Abs. 4 lit. a BGG). Dem Prozessausgang entsprechend gehen die Gerichtskosten zu Lasten der Beschwerdeführerin ( Art. 66 Abs. 1 BGG ; BGE 133 V 450 E. 13 S. 472, 127 V 107 E. 6b S. 111 f.). Ferner hat der Beschwerdegegner Anspruch auf eine Parteientschädigung ( Art. 68 Abs. 1 BGG ), nicht aber die Stiftung Auffangeinrichtung ( BGE 128 V 124 E. 5b S. 133 f.; Urteil 2A.576/2002 vom 4. November 2003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