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9C_290/2014 vom 13. Juni 2014</w:t>
      </w:r>
    </w:p>
    <w:p>
      <w:r>
        <w:t>Bundesgericht, 2014-06-13, DE</w:t>
      </w:r>
    </w:p>
    <w:p>
      <w:r>
        <w:rPr>
          <w:b/>
        </w:rPr>
        <w:t xml:space="preserve">Quelle: </w:t>
      </w:r>
      <w:r>
        <w:t>https://mcp.opencaselaw.ch/entscheid/bger_9C_290_2014</w:t>
      </w:r>
    </w:p>
    <w:p>
      <w:r>
        <w:t>FR: TF 9C_290/2014 du 13 juin 2014</w:t>
      </w:r>
    </w:p>
    <w:p>
      <w:r>
        <w:t>IT: TF 9C_290/2014 del 13 giugno 2014</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(vgl. Urteil 9C_999/2010 vom 14. Februar 2011 E. 1).</w:t>
      </w:r>
    </w:p>
    <w:p>
      <w:r>
        <w:rPr>
          <w:b/>
        </w:rPr>
        <w:t>E. 1.2</w:t>
      </w:r>
    </w:p>
    <w:p>
      <w:r>
        <w:t>Dem kantonalen Schiedsgericht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w:t>
      </w:r>
    </w:p>
    <w:p>
      <w:r>
        <w:rPr>
          <w:b/>
        </w:rPr>
        <w:t>E. 2.1</w:t>
      </w:r>
    </w:p>
    <w:p>
      <w:r>
        <w:t>Nach Art. 24 KVG übernimmt die obligatorische Krankenpflegeversicherung die Kosten für die Leistungen gemäss den Art. 25-31 nach Massgabe der in den Art. 32-34 KVG festgelegten Voraussetzungen. Die Leistungen umfassen u.a. Untersuchungen und Behandlungen, die ambulant, bei Hausbesuchen, stationär oder teilstationär in einem Pflegeheim von Ärzten oder Ärztinnen durchgeführt werden (Art. 25 Abs. 2 lit. a Ziff. 1 KVG in der bis 31. Dezember 2010 gültig gewesenen Fassung). Die seit 1. Januar 2011 geltende neue Fassung von Art. 25 Abs. 2 lit. a KVG hat inhaltlich keine hier interessierenden Änderungen gebracht.</w:t>
      </w:r>
    </w:p>
    <w:p>
      <w:r>
        <w:rPr>
          <w:b/>
        </w:rPr>
        <w:t>E. 2.2</w:t>
      </w:r>
    </w:p>
    <w:p>
      <w:r>
        <w:t>Voraussetzung für eine Kostenübernahme im Rahmen der obligatorischen Krankenpflegeversicherung sind Wirksamkeit, Zweckmässigkeit und Wirtschaftlichkeit der Leistung ( Art. 32 Abs. 1 KVG ). Eine Leistung ist wirksam, wenn sie geeignet ist, das angestrebte diagnostische oder therapeutische Ziel zu erreichen ( BGE 137 V 295 E. 6.1 S. 303). Die Zweckmässigkeit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an der Missbrauchsgefahr ( BGE 137 V 295 E. 6.2 S. 306). Das Wirtschaftlichkeitserfordernis bezieht sich auf die Wahl unter mehreren zweckmässigen Diagnose- oder Behandlungsalternativen Bei vergleichbarem medizinischem Nutzen ist die kostengünstigste Variante bzw. diejenige mit dem besten Kosten-/Nutzen-Verhältnis zu wählen ( BGE 136 V 395 E. 7.4 S. 407; vgl. zum Ganzen EUGSTER, Krankenversicherung, in: Soziale Sicherheit, SBVR Bd. XIV,          2. Aufl. 2007, S. 494 ff.).</w:t>
      </w:r>
    </w:p>
    <w:p>
      <w:r>
        <w:rPr>
          <w:b/>
        </w:rPr>
        <w:t>E. 3</w:t>
      </w:r>
    </w:p>
    <w:p>
      <w:r>
        <w:t>Die Einwendungen des Beschwerdeführers erschöpfen sich in einer im Rahmen der gesetzlichen Überprüfungsbefugnis des Bundesgerichts unzulässigen appellatorischen Kritik. Das Bundesgericht prüft nur klar und detailliert erhobene und, soweit möglich, belegte Rügen; mit appellatorischer Kritik am angefochtenen Entscheid setzt es sich nicht auseinander.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135 V 2 E. 1.3 S. 4 mit Hinweisen). Die Beschwerde übersieht, dass die im angefochtenen Entscheid einlässlich begründete Würdigung der gesamten medizinischen Akten Fragen tatsächlicher Natur beschlägt und daher einer Überprüfung durch das Bundesgericht grundsätzlich entzogen ist, zumal von willkürlicher Abwägung durch die Vorinstanz oder anderweitiger Rechtsfehlerhaftigkeit im Sinne von Art. 105 Abs. 2 BGG nicht die Rede sein kann.</w:t>
      </w:r>
    </w:p>
    <w:p>
      <w:r>
        <w:rPr>
          <w:b/>
        </w:rPr>
        <w:t>E. 4</w:t>
      </w:r>
    </w:p>
    <w:p>
      <w:r>
        <w:t>Das eben Gesagte gilt zunächst für die Ausführungen zu den Fällen 1, 4, 6, 8, 17, 18, 19.1, 23.1, 23.2, 27, 28, 30, 31, 33, 34 und 35. Daher erübrigt es sich, auf jeden einzelnen Fall einzugehen. Stattdessen wird auf die Ausführungen der Vorinstanz in den Erwägungen 5b) aa) -5v) cc) auf den Seiten 18-51 des angefochtenen Entscheides verwiesen    ( Art. 109 Abs. 3 BGG ).</w:t>
      </w:r>
    </w:p>
    <w:p>
      <w:r>
        <w:rPr>
          <w:b/>
        </w:rPr>
        <w:t>E. 5</w:t>
      </w:r>
    </w:p>
    <w:p>
      <w:r>
        <w:t>Die Vorbringen in den Fällen 12 und 15 hängen nicht mit der jeweiligen Streitsache zusammen, weshalb das Bundesgericht sie nicht näher überprüft.</w:t>
      </w:r>
    </w:p>
    <w:p>
      <w:r>
        <w:rPr>
          <w:b/>
        </w:rPr>
        <w:t>E. 6</w:t>
      </w:r>
    </w:p>
    <w:p>
      <w:r>
        <w:t>Die Gegenforderung über Fr. 31.90 im Fall 4 wird mit einem Novum begründet, welches unzulässig ist, weil gar keine neuen Tatsachen und Beweismittel vorgebracht werden, für die erst der Entscheid der Vorinstanz Anlass gibt ( Art. 99 Abs. 1 BGG ). Das nun Ausgeführte hätte bereits vor Schiedsgericht geltend gemacht werden können und müssen.</w:t>
      </w:r>
    </w:p>
    <w:p>
      <w:r>
        <w:rPr>
          <w:b/>
        </w:rPr>
        <w:t>E. 7</w:t>
      </w:r>
    </w:p>
    <w:p>
      <w:r>
        <w:t>Was die Erwägungen der Vorinstanz zu den sogenannten "Freitagsfällen" (Fälle 7, 14, 16, 19.2 und 24) betrifft, ist zunächst darauf hinzuweisen, dass in sämtlichen Streitfällen entschieden worden ist, dass die vom Beschwerdegegner vorgenommene Rechnungsstellung (stationäre Pauschale für den Freitag als Eintrittstag) klar den tarifvertraglichen Bestimmungen widerspricht und folglich die stationäre Tagespauschale für den Freitag zu Unrecht in Rechnung gestellt und eingeklagt worden ist. Die Klage ist daher jeweils im Umfang der stationären Tagespauschale für den Freitag abgewiesen worden. Deshalb fehlt es vorliegend an einem Anfechtungsgegenstand und kann soweit auf die Klage nicht eingetreten werden. Davon betroffen sind primär die Fälle 16 und 19.2. Zu Fall 24 fehlt zudem eine Begründung. Schon deshalb könnte das Bundesgericht auf die Beschwerde nicht eintreten. Auch in den Fällen 7 und 14 beschränkt sich der Beschwerdeführer auf unzulässige appellatorische Kritik (E. 3) an der vorinstanzlichen Beweiswürdigung.</w:t>
      </w:r>
    </w:p>
    <w:p>
      <w:r>
        <w:rPr>
          <w:b/>
        </w:rPr>
        <w:t>E. 8</w:t>
      </w:r>
    </w:p>
    <w:p>
      <w:r>
        <w:t>Die bezüglich der Verzugszinsfrage gemachten Ausführungen zum letztinstanzlich gestellten Antrag 1 und der Erwägung 7 des vorinstanzlichen Entscheides sind unbehelflich. Vorab nehmen sie nicht Bezug auf konkrete Streitfälle. Soweit solche doch indirekt betroffen sind, beziehen sie sich auf Fälle, in denen letztinstanzlich lediglich appellatorische Tatsachenkritik vorgebracht wird (Fälle 1, 6, 17, 18) oder die materiellen Vorbringen gar nicht mit der Streitsache zusammenhängen (Fall 12). Sie sind deshalb vom Bundesgericht nicht zu prüfen.</w:t>
      </w:r>
    </w:p>
    <w:p>
      <w:r>
        <w:rPr>
          <w:b/>
        </w:rPr>
        <w:t>E. 9</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