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9C_28/2026 vom 3. März 2026</w:t>
      </w:r>
    </w:p>
    <w:p>
      <w:r>
        <w:t>Bundesgericht, 2026-03-03, DE</w:t>
      </w:r>
    </w:p>
    <w:p>
      <w:r>
        <w:rPr>
          <w:b/>
        </w:rPr>
        <w:t xml:space="preserve">Quelle: </w:t>
      </w:r>
      <w:r>
        <w:t>https://mcp.opencaselaw.ch/entscheid/bger_9C_28_2026</w:t>
      </w:r>
    </w:p>
    <w:p>
      <w:r>
        <w:t>FR: TF 9C_28/2026 du 3 mars 2026</w:t>
      </w:r>
    </w:p>
    <w:p>
      <w:r>
        <w:t>IT: TF 9C_28/2026 del 3 marzo 2026</w:t>
      </w:r>
    </w:p>
    <w:p>
      <w:pPr>
        <w:pStyle w:val="Heading2"/>
      </w:pPr>
      <w:r>
        <w:t>Erwägungen</w:t>
      </w:r>
    </w:p>
    <w:p>
      <w:r>
        <w:rPr>
          <w:b/>
        </w:rPr>
        <w:t>E. 1</w:t>
      </w:r>
    </w:p>
    <w:p>
      <w:r>
        <w:t>Mit Verfügung vom 1. Dezember 2025 wies das Sozialversicherungsgericht des Kantons Zürich das Fristwiederherstellungsgesuch vom 11. November 2025 ab und trat mangels Rechtzeitigkeit auf die Beschwerde von A.________ gegen den Einspracheentscheid der CSS Kranken-Versicherung AG vom 9. Oktober 2025 nicht ein.</w:t>
      </w:r>
    </w:p>
    <w:p>
      <w:r>
        <w:rPr>
          <w:b/>
        </w:rPr>
        <w:t>E. 2.1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2.2</w:t>
      </w:r>
    </w:p>
    <w:p>
      <w:r>
        <w:t>Rechtsprechungsgemäss weist eine Beschwerdeschrift, welche sich bei Nichteintretensurteilen lediglich mit der materiellen Seite des Falles auseinandersetzt, keine sachbezogene Begründung auf, und stellt folglich keine rechtsgenügliche Beschwerde dar (vgl. BGE 123 V 335 E. 1b; Urteil 9C_277/2023 vom 9. Juni 2023).</w:t>
      </w:r>
    </w:p>
    <w:p>
      <w:r>
        <w:rPr>
          <w:b/>
        </w:rPr>
        <w:t>E. 3.1</w:t>
      </w:r>
    </w:p>
    <w:p>
      <w:r>
        <w:t>Die Vorinstanz gelangte zum Ergebnis, dass kein unverschuldetes Hindernis im Sinne von Art. 60 Abs. 2 i.V.m. Art. 41 ATSG vorliege. Folglich wies sie das Fristwiederherstellungsgesuch ab und trat mangels Rechtzeitigkeit des Rechtsmittels auf die Beschwerde gegen den Einspracheentscheid betreffend Kostenbeteiligung im Betrag von Fr. 1'294.85 nicht ein.</w:t>
      </w:r>
    </w:p>
    <w:p>
      <w:r>
        <w:rPr>
          <w:b/>
        </w:rPr>
        <w:t>E. 3.2</w:t>
      </w:r>
    </w:p>
    <w:p>
      <w:r>
        <w:t>Die Beschwerdeführerin beantragt, es seien "alle Kosten" gegen sie "zu stoppen". Mit ihren diesbezüglichen Ausführungen legt sie auch nicht ansatzweise dar, inwiefern die vorinstanzlichen Sachverhaltsfeststellungen auf einer Rechtsverletzung im Sinne von Art. 97 Abs. 1 BGG beruhen oder qualifiziert unzutreffend (unhaltbar, willkürlich: BGE 150 II 346 E. 1.6; 147 IV 73 E. 4.1.2) sein sollen oder die darauf beruhenden Erwägungen, welche zum Nichteintreten geführt haben, rechtsfehlerhaft (vgl. Art. 95 BGG ) sein sollen.</w:t>
      </w:r>
    </w:p>
    <w:p>
      <w:r>
        <w:rPr>
          <w:b/>
        </w:rPr>
        <w:t>E. 4</w:t>
      </w:r>
    </w:p>
    <w:p>
      <w:r>
        <w:t>Damit genügt die Eingabe der Beschwerdeführerin den gesetzlichen Anforderungen an eine Beschwerde offensichtlich nicht. Auf das Rechtsmittel ist im vereinfachten Verfahren nach Art. 108 Abs. 1 lit. b BGG nicht einzutreten. 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