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28/2013 vom 4. September 2013</w:t>
      </w:r>
    </w:p>
    <w:p>
      <w:r>
        <w:t>Bundesgericht, 2013-09-04, DE</w:t>
      </w:r>
    </w:p>
    <w:p>
      <w:r>
        <w:rPr>
          <w:b/>
        </w:rPr>
        <w:t xml:space="preserve">Quelle: </w:t>
      </w:r>
      <w:r>
        <w:t>https://mcp.opencaselaw.ch/entscheid/bger_9C_28_2013</w:t>
      </w:r>
    </w:p>
    <w:p>
      <w:r>
        <w:t>FR: TF 9C 28/2013 du 4 septembre 2013</w:t>
      </w:r>
    </w:p>
    <w:p>
      <w:r>
        <w:t>IT: TF 9C 28/2013 del 4 settembre 2013</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2.1</w:t>
      </w:r>
    </w:p>
    <w:p>
      <w:r>
        <w:t>Art. 18 Abs. 3 AHVG sieht vor, dass Ausländern, die ihren Wohnsitz im Ausland haben und mit deren Heimatstaat keine zwischenstaatliche Vereinbarung besteht, sowie ihren Hinterlassenen die gemäss den Artikeln 5, 6, 8, 10 oder 13 bezahlten Beiträge rückvergütet werden können. Der Bundesrat regelt die Einzelheiten, insbesondere das Ausmass der Rückvergütung.</w:t>
      </w:r>
    </w:p>
    <w:p>
      <w:r>
        <w:rPr>
          <w:b/>
        </w:rPr>
        <w:t>E. 2.2</w:t>
      </w:r>
    </w:p>
    <w:p>
      <w:r>
        <w:t>Gemäss Art. 1 Abs. 1 der bundesrätlichen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Massgebend ist die Staatsangehörigkeit im Zeitpunkt der Rückforderung (Abs. 2). Art. 2 Abs. 1 RV-AHV normiert, dass die Beiträge zurückgefordert werden können, sobald die Person aller Voraussicht nach endgültig aus der Versicherung ausgeschieden ist und sowohl sie selber als auch die Ehefrau oder der Ehemann und ihre noch nicht 25-jährigen Kinder nicht mehr in der Schweiz wohnen.</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rPr>
          <w:b/>
        </w:rPr>
        <w:t>E. 4</w:t>
      </w:r>
    </w:p>
    <w:p>
      <w:r>
        <w:t>Der vorliegende Fall präsentiert sich nicht anders: Der Beschwerdegegner hat in seinem Antrag auf Rückvergütung von AHV-Beiträgen angegeben, er sei kosovarischer Staatsangehöriger. Die Frage nach einer Doppelbürgerschaft hat er explizit verneint; dies auch bezüglich seiner Ehefrau.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verworfen ( BGE 139 V 263 E. 12.2 S. 285). Bei dieser Sachlage ist der Beschwerdegegner aller Voraussicht nach endgültig aus der AHV ausgeschieden. Er könnte (dereinst) nur dann eine Altersrente beanspruchen, wenn und solange er seinen Wohnsitz und gewöhnlichen Aufenthalt in der Schweiz hätte, da mit seinem Heimatstaat der Republik Kosovo seit April 2010 keine anderslautende zwischenstaatliche Vereinbarung mehr besteht ( Art. 18 Abs. 2 AHVG ). Durch seine definitive Ausreise aus der Schweiz und der Wohnsitznahme im Ausland hat der Beschwerdegegner keine Anwartschaft mehr auf eine Altersrente. Dass auch die weiteren Anspruchsvoraussetzungen (vgl. E. 2.2 hievor) erfüllt sind, ist unbestritten, weshalb der Beschwerdegegner einen Anspruch auf Rückvergütung der AHV-Beiträge hat. Indem die SAK am 22. Dezember 2010 einen Rückvergütungsbetrag von Fr. 22'163.50 zugesprochen hat, hat sie in grundsätzlicher Hinsicht korrekt gehandelt. Mit Einspracheentscheid vom 20. September 2011 hat sie an der Rückvergütung - auch in masslicher Hinsicht - festgehalten. Die dagegen beim Bundesverwaltungsgericht eingereichte Beschwerde hat hauptsächlich den Umfang der Rückvergütung zum Inhalt. Darüber hat die Vorinstanz, weil sie zu Unrecht einen Rückvergütungsanspruch verneint hat, nicht befunden. Um dem Beschwerdegegner den ordentlichen Instanzenweg nicht zu verkürzen, ist die Sache zu neuer Entscheidung an das Bundesverwaltungsgericht zurückzuweisen.</w:t>
      </w:r>
    </w:p>
    <w:p>
      <w:r>
        <w:rPr>
          <w:b/>
        </w:rPr>
        <w:t>E. 5</w:t>
      </w:r>
    </w:p>
    <w:p>
      <w:r>
        <w:t>Eine Rückweisung zu erneutem Entscheid mit offenem Ausgang gilt als Obsiegen (Urteil 2C_60/2011 vom 12. Mai 2011 E. 2.4 mit Hinweis auf BGE 131 II 72 E. 4 S. 80 betreffend das öffentliche Recht). Bei diesem Ausgang des bundesgerichtlichen Verfahrens ist der Beschwerdegegner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