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289/2007 vom 29. Januar 2008</w:t>
      </w:r>
    </w:p>
    <w:p>
      <w:r>
        <w:t>Bundesgericht, 2008-01-29, FR</w:t>
      </w:r>
    </w:p>
    <w:p>
      <w:r>
        <w:rPr>
          <w:b/>
        </w:rPr>
        <w:t xml:space="preserve">Quelle: </w:t>
      </w:r>
      <w:r>
        <w:t>https://mcp.opencaselaw.ch/entscheid/bger_9C_289_2007</w:t>
      </w:r>
    </w:p>
    <w:p>
      <w:r>
        <w:t>FR: TF 9C 289/2007 du 29 janvier 2008</w:t>
      </w:r>
    </w:p>
    <w:p>
      <w:r>
        <w:t>IT: TF 9C 289/2007 del 29 gennaio 2008</w:t>
      </w:r>
    </w:p>
    <w:p>
      <w:pPr>
        <w:pStyle w:val="Heading2"/>
      </w:pPr>
      <w:r>
        <w:t>Regeste</w:t>
      </w:r>
    </w:p>
    <w:p>
      <w:r>
        <w:t>Assurance-invalidité | Assurance-invalidité</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Le jugement entreprise expose correctement les règles légales et la jurisprudence sur la notion d'invalidité ( art. 7 et 8 LPGA ), son évaluation et le degré de cette dernière ouvrant le droit à une rente ( art. 16 LPGA et art. 28 LAI ), la tâche du médecin dans le cadre de l'évaluation de l'invalidité ( ATF 125 V 261 consid. 4, 115 V 134 consid. 2, 114 V 314 consid. 3c, 105 V 158 consid. 1), et la valeur probante d'une expertise médicale ( ATF 125 V 352 consid. 3b/cc et les références). Il suffit d'y renvoyer.</w:t>
      </w:r>
    </w:p>
    <w:p>
      <w:r>
        <w:rPr>
          <w:b/>
        </w:rPr>
        <w:t>E. 3</w:t>
      </w:r>
    </w:p>
    <w:p>
      <w:r>
        <w:t>Les premiers juges ont retenu que le rapport d'examen rhumatologique et psychiatrique du SMR du 12 septembre 2005 (recte: 12 décembre 2005) exposait en détail l'affection psychiatrique du recourant et motivait de manière convaincante les raisons pour lesquelles celle-ci n'influait pas sur sa capacité de travail. La juridiction a par ailleurs estimé que le rapport de la doctoresse A.________ du 3 décembre 2006, produit par le recourant à l'appui de son recours devant l'instance cantonale, n'était pas apte à remettre en cause les conclusions du rapport du SMR dès lors qu'il n'était pas motivé. En outre, il émanait du médecin traitant du recourant, généralement enclin en cas de doute à prendre parti pour son patient.</w:t>
      </w:r>
    </w:p>
    <w:p>
      <w:r>
        <w:rPr>
          <w:b/>
        </w:rPr>
        <w:t>E. 4.1</w:t>
      </w:r>
    </w:p>
    <w:p>
      <w:r>
        <w:t>Le recourant invoque tout d'abord une violation de son droit d'être entendu dans la mesure où la juridiction cantonale a refusé d'ordonner une nouvelle expertise psychiatrique. Le refus de donner suite à une requête de mesures d'instruction, en l'espèce une nouvelle expertise psychiatrique, au motif que les éléments de preuve au dossier étaient suffisants pour trancher le litige ou que les mesures requises n'étaient pas pertinentes, représente une appréciation anticipée des preuves par l'autorité (cf. ATF 130 II 425 consid. 2.1 p. 428 sv., 125 I 127 consid. 6c/cc p. 134 sv., 124 V 90 consid. 5b p. 94, 122 II 464 consid. 4a p. 469, 122 III 219 consid. 3c p. 223 sv.). Cet acte ne représente pas une violation du droit d'être entendu (cf. ATF 129 II 497 consid. 2.2 p. 504 sv., 127 I 54 consid. 2b p. 56, 127 III 576 consid. 2c p. 578 sv., 126 V 130 consid. 2a p. 130 sv., 126 I 15 consid. 2a/aa p. 16 sv., 124 V 180 consid. 1a p. 181 et les références). Dans la mesure où les premiers juges ont clairement motivé leur décision en démontrant que les preuves offertes ne pouvaient pas les amener à modifier leur opinion et que les faits retenus n'apparaissent pas manifestement inexacts ou incomplets, le recourant ne peut faire grief aux premiers juges d'avoir procédé à une telle appréciation ou violé son droit d'être entendu.</w:t>
      </w:r>
    </w:p>
    <w:p>
      <w:r>
        <w:rPr>
          <w:b/>
        </w:rPr>
        <w:t>E. 4.2</w:t>
      </w:r>
    </w:p>
    <w:p>
      <w:r>
        <w:t>Le recourant reproche ensuite à la juridiction cantonale d'avoir suivi sans autre l'avis des médecins du SMR, malgré l'avis contradictoire de la doctoresse A.________. Ce grief, par lequel l'assuré vise à substituer sa propre appréciation des preuves à celle des premiers juges, ne suffit toutefois pas à faire apparaître les faits constatés par ceux-ci comme manifestement inexacts ou en violation du droit au sens de l' art. 95 LTF . La juridiction cantonale a expliqué de façon circonstanciée les raisons pour lesquelles elle estimait que le rapport de la doctoresse A.________ du 3 décembre 2006 n'était pas de nature à remettre en cause les conclusions motivées du SMR. Par ailleurs, il y a lieu d'ajouter qu'au vu de la divergence consacrée par la jurisprudence entre un mandat de soins et un mandat d'expertise (cf. arrêt I 701/05 du 5 janvier 2007, consid. 2 et les nombreux arrêts cités, dont en particulier l' 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Vu ce qui précède, le recours est mal fondé.</w:t>
      </w:r>
    </w:p>
    <w:p>
      <w:r>
        <w:rPr>
          <w:b/>
        </w:rPr>
        <w:t>E. 5</w:t>
      </w:r>
    </w:p>
    <w:p>
      <w:r>
        <w:t>Compte tenu de l'issue du litige, les frais de justice doivent être supportés par le recourant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