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9C_288/2019 vom 24. Mai 2019</w:t>
      </w:r>
    </w:p>
    <w:p>
      <w:r>
        <w:t>Bundesgericht, 2019-05-24, DE</w:t>
      </w:r>
    </w:p>
    <w:p>
      <w:r>
        <w:rPr>
          <w:b/>
        </w:rPr>
        <w:t xml:space="preserve">Quelle: </w:t>
      </w:r>
      <w:r>
        <w:t>https://mcp.opencaselaw.ch/entscheid/bger_9C_288_2019</w:t>
      </w:r>
    </w:p>
    <w:p>
      <w:r>
        <w:t>FR: TF 9C_288/2019 du 24 mai 2019</w:t>
      </w:r>
    </w:p>
    <w:p>
      <w:r>
        <w:t>IT: TF 9C_288/2019 del 24 maggio 2019</w:t>
      </w:r>
    </w:p>
    <w:p>
      <w:pPr>
        <w:pStyle w:val="Heading2"/>
      </w:pPr>
      <w:r>
        <w:t>Volltext</w:t>
      </w:r>
    </w:p>
    <w:p>
      <w:r>
        <w:t>Bundesgericht</w:t>
      </w:r>
    </w:p>
    <w:p>
      <w:r>
        <w:t>Tribunal fédéral</w:t>
      </w:r>
    </w:p>
    <w:p>
      <w:r>
        <w:t>Tribunale federale</w:t>
      </w:r>
    </w:p>
    <w:p>
      <w:r>
        <w:t>Tribunal federal</w:t>
      </w:r>
    </w:p>
    <w:p>
      <w:r>
        <w:t>9C_288/2019</w:t>
      </w:r>
    </w:p>
    <w:p>
      <w:r>
        <w:t>Urteil vom 24. Mai 2019</w:t>
      </w:r>
    </w:p>
    <w:p>
      <w:r>
        <w:t>II. sozialrechtliche Abteilung</w:t>
      </w:r>
    </w:p>
    <w:p>
      <w:r>
        <w:t>Besetzung</w:t>
      </w:r>
    </w:p>
    <w:p>
      <w:r>
        <w:t>Bundesrichterin Pfiffner, Präsidentin,</w:t>
      </w:r>
    </w:p>
    <w:p>
      <w:r>
        <w:t>Gerichtsschreiber Attinger.</w:t>
      </w:r>
    </w:p>
    <w:p>
      <w:r>
        <w:t>Verfahrensbeteiligte</w:t>
      </w:r>
    </w:p>
    <w:p>
      <w:r>
        <w:t>A.________,</w:t>
      </w:r>
    </w:p>
    <w:p>
      <w:r>
        <w:t>Beschwerdeführerin,</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25. März 2019 (VBE.2018.830).</w:t>
      </w:r>
    </w:p>
    <w:p>
      <w:r>
        <w:t>Nach Einsicht</w:t>
      </w:r>
    </w:p>
    <w:p>
      <w:r>
        <w:t>in die Beschwerde vom 26. April 2019 (Datum des Poststempels) gegen den Entscheid des Versicherungsgerichts des Kantons Aargau vom 25. März 2019,</w:t>
      </w:r>
    </w:p>
    <w:p>
      <w:r>
        <w:t>in die Mitteilung des Bundesgerichts vom 29. April 2019 an A.________, worin auf die gesetzlichen Formerfordernisse von Beschwerden hinsichtlich Begehren und Begründung sowie auf die nur innert der Rechtsmittelfrist noch bestehende Verbesserungsmöglichkeit hingewiesen wurde,</w:t>
      </w:r>
    </w:p>
    <w:p>
      <w:r>
        <w:t>dass die Beschwerdeführerin ihre Eingabe innert Frist nicht verbesserte, sondern (neben dem vorinstanzlichen Entscheid) lediglich zusätzliche Akten einreichte,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 inhaltliche Auseinandersetzung mit der entscheidwesentlichen Erwägung der Vorinstanz zu entnehmen ist, wonach mit den seitens der Beschwerdeführerin im Neuanmeldungsverfahren eingereichten medizinischen Berichten eine anspruchsrelevante gesundheitliche und leistungsmässige Verschlechterung nicht glaubhaft dargetan wurde (Art. 87 Abs. 3 in Verbindung mit Abs. 2 IVV; BGE 130 V 64 und 71; 117 V 198 ; SVR 2016 IV Nr. 57 S. 188, 9C_367/2016 E. 2 mit Hinweisen),</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24. Mai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