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9C_288/2010 vom 22. Dezember 2010</w:t>
      </w:r>
    </w:p>
    <w:p>
      <w:r>
        <w:t>Bundesgericht, 2010-12-22, FR</w:t>
      </w:r>
    </w:p>
    <w:p>
      <w:r>
        <w:rPr>
          <w:b/>
        </w:rPr>
        <w:t xml:space="preserve">Quelle: </w:t>
      </w:r>
      <w:r>
        <w:t>https://mcp.opencaselaw.ch/entscheid/bger_9C_288_2010</w:t>
      </w:r>
    </w:p>
    <w:p>
      <w:r>
        <w:t>FR: TF 9C_288/2010 du 22 décembre 2010</w:t>
      </w:r>
    </w:p>
    <w:p>
      <w:r>
        <w:t>IT: TF 9C_288/2010 del 22 dicembre 2010</w:t>
      </w:r>
    </w:p>
    <w:p>
      <w:pPr>
        <w:pStyle w:val="Heading2"/>
      </w:pPr>
      <w:r>
        <w:t>Erwägungen</w:t>
      </w:r>
    </w:p>
    <w:p>
      <w:r>
        <w:rPr>
          <w:b/>
        </w:rPr>
        <w:t>E. 1.1</w:t>
      </w:r>
    </w:p>
    <w:p>
      <w:r>
        <w:t>Le Tribunal fédéral examine d'office la recevabilité des recours qui lui sont soumis (cf. ATF 135 III 1 consid. 1.1 p. 3).</w:t>
      </w:r>
    </w:p>
    <w:p>
      <w:r>
        <w:rPr>
          <w:b/>
        </w:rPr>
        <w:t>E. 1.2</w:t>
      </w:r>
    </w:p>
    <w:p>
      <w:r>
        <w:t>Dans la mesure où elle restitue l'effet suspensif au recours pour la période comprise entre les 1er janvier 2006 et 30 novembre 2009 (ch. 1 du dispositif), invite l'office recourant à établir le montant des prestations dues (ch. 3 du dispositif) et confirme le retrait de l'effet suspensif pour la période ultérieure (ch. 2 du dispositif), la décision attaquée est une décision incidente (cf. ATF 133 V 477 consid. 4.1.3 p. 481), portant sur des mesures provisionnelles (cf. arrêt 9C_191/2007 du 8 mai 2007 in SVR 2007 IV n° 43 p. 143; BERNARD CORBOZ, in Commentaire de la LTF, Berne 2009, n° 8 ad art. 98 LTF ), qui n'est recevable qu'aux conditions des art. 93 al. 1 let. a et 98 LTF .</w:t>
      </w:r>
    </w:p>
    <w:p>
      <w:r>
        <w:rPr>
          <w:b/>
        </w:rPr>
        <w:t>E. 1.3</w:t>
      </w:r>
    </w:p>
    <w:p>
      <w:r>
        <w:t>En l'espèce, le recours en matière de droit public critiquant la restitution de l'effet suspensif pour la période comprise entre le 1er janvier 2006 et le 30 novembre 2009 est recevable. Sur ce point, la décision entreprise est effectivement susceptible de causer à l'administration un préjudice irréparable: d'une part, il ressort clairement de la décision attaquée que la perception, selon laquelle la suppression d'une rente confirmée après la réalisation d'un complément d'instruction prescrit par renvoi de l'autorité de recours ne peut désormais déployer ses effets qu'à compter du premier jour du deuxième mois suivant la notification de la nouvelle décision, va s'imposer aux juges du fond sans nouvel examen, mention étant faite à cet égard que l'intimée n'aura pas à rembourser les prestations perçues pour la période indiquée quelle que soit en définitive la décision du Tribunal administratif fédéral; d'autre part, compte tenu de l'importance des prestations à verser, l'assurée ne serait vraisemblablement pas à même d'effectuer le remboursement si le jugement final donnait malgré tout gain de cause l'office recourant (cf. arrêt K 36/81 du 1er juin 1982 consid. 2 in RJAM 1983 528 p. 90). Enfin, ce dernier invoque de manière substantielle une mauvaise application du principe d'égalité de traitement par la juridiction de première instance.</w:t>
      </w:r>
    </w:p>
    <w:p>
      <w:r>
        <w:rPr>
          <w:b/>
        </w:rPr>
        <w:t>E. 2</w:t>
      </w:r>
    </w:p>
    <w:p>
      <w:r>
        <w:t>Le Tribunal fédéral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3</w:t>
      </w:r>
    </w:p>
    <w:p>
      <w:r>
        <w:t>L'office recourant reproche fondamentalement au juge instructeur d'avoir violé le principe de l'égalité de traitement dans le sens où - dans l'hypothèse de la suppression d'une rente confirmée après la mise en oeuvre de mesures complémentaires d'instruction - l'assuré, dont le dossier insuffisamment instruit serait directement complété par l'autorité de recours, verrait son droit aux prestations modifié à partir du premier jour du deuxième mois suivant la notification de la décision attaquée, tandis que - dans la même hypothèse - l'assuré, dont le dossier aurait été renvoyé à l'administration pour complément d'instruction et nouvelle décision, verrait son droit modifié pour l'avenir, soit à compter du premier jour du deuxième mois suivant la notification de la nouvelle décision.</w:t>
      </w:r>
    </w:p>
    <w:p>
      <w:r>
        <w:rPr>
          <w:b/>
        </w:rPr>
        <w:t>E. 4.1</w:t>
      </w:r>
    </w:p>
    <w:p>
      <w:r>
        <w:t>Le Tribunal fédéral a récemment confirmé que la jurisprudence initiée à l' ATF 106 V 18 et corroborée à l' ATF 129 V 370 - selon laquelle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 n'était pas remise en question par les arrêts 9C_149/2009 du 14 juillet 2009 - aux termes duquel l'état de fait devant être examiné dans le cadre d'un renvoi pour instruction s'étend jusqu'à la notification de la nouvelle décision - et 9C_646/2009 du 13 octobre 2009 (arrêt 8C_451/2010 du 11 novembre 2010 consid. 2 à 4).</w:t>
      </w:r>
    </w:p>
    <w:p>
      <w:r>
        <w:rPr>
          <w:b/>
        </w:rPr>
        <w:t>E. 4.2</w:t>
      </w:r>
    </w:p>
    <w:p>
      <w:r>
        <w:t>Après avoir constaté qu'un changement de jurisprudence ne ressortait pas de l'arrêt 9C_149/2009, ni expressément (celui-ci n'évoquant pas une telle hypothèse), ni au plan formel (composition de la Cour ayant statué), procédural ( art. 23 LTF ) ou juridique ( ATF 136 III 6 consid. 3 p. 8), le Tribunal fédéral a précisé que cet arrêt ne modifiait fondamentalement en rien la jurisprudence initiée à l' ATF 106 V 18 et confirmée à l' ATF 129 V 370 . Il a ainsi substantiellement rappelé que le renvoi pour instruction complémentaire ne signifiait pas nécessairement que les constatations originelles étaient fausses mais seulement que celles-ci ne pouvaient être confirmées sur la base des documents disponibles. Il a précisé que les nouvelles observations pouvaient intégralement confirmer celles réalisées initialement, y compris du point de vue temporel (par exemple la date de l'amélioration de la capacité de travail justifiant la modification du droit), auquel cas la première décision supprimant ou diminuant les prestations était correcte et pouvait être entérinée avec effet rétroactif (dans ce sens, cf. ATF 106 V 18 et 129 V 370). Il découlait logiquement de ce qui précède que,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 art. 17 al. 1 LPGA (soit durant la procédure initiale d'instruction, soit durant la procédure d'instruction complémentaire).</w:t>
      </w:r>
    </w:p>
    <w:p>
      <w:r>
        <w:rPr>
          <w:b/>
        </w:rPr>
        <w:t>E. 4.3</w:t>
      </w:r>
    </w:p>
    <w:p>
      <w:r>
        <w:t>Au vu de ces éléments, la décision incidente du Tribunal administratif fédéral ne peut être maintenue.</w:t>
      </w:r>
    </w:p>
    <w:p>
      <w:r>
        <w:rPr>
          <w:b/>
        </w:rPr>
        <w:t>E. 5</w:t>
      </w:r>
    </w:p>
    <w:p>
      <w:r>
        <w:t>Au regard de l'issue du litige, les frais judiciaires devraient être mis à la charge de l'intimée ( art. 66 al. 1 LTF ) qui ne sauraient prétendre des dépens ( art. 68 LTF ). Compte tenu des circonstances, il se justifie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