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9C_287/2019 vom 28. Mai 2019</w:t>
      </w:r>
    </w:p>
    <w:p>
      <w:r>
        <w:t>Bundesgericht, 2019-05-28, IT</w:t>
      </w:r>
    </w:p>
    <w:p>
      <w:r>
        <w:rPr>
          <w:b/>
        </w:rPr>
        <w:t xml:space="preserve">Quelle: </w:t>
      </w:r>
      <w:r>
        <w:t>https://mcp.opencaselaw.ch/entscheid/bger_9C_287_2019</w:t>
      </w:r>
    </w:p>
    <w:p>
      <w:r>
        <w:t>FR: TF 9C_287/2019 du 28 mai 2019</w:t>
      </w:r>
    </w:p>
    <w:p>
      <w:r>
        <w:t>IT: TF 9C_287/2019 del 28 maggio 2019</w:t>
      </w:r>
    </w:p>
    <w:p>
      <w:pPr>
        <w:pStyle w:val="Heading2"/>
      </w:pPr>
      <w:r>
        <w:t>Erwägungen</w:t>
      </w:r>
    </w:p>
    <w:p>
      <w:r>
        <w:rPr>
          <w:b/>
        </w:rPr>
        <w:t>E. 1</w:t>
      </w:r>
    </w:p>
    <w:p>
      <w:r>
        <w:t>Decisioni riguardanti l'effetto sospensivo e gli altri provvedimenti provvisionali configurano delle decisioni in materia di misure cautelari ai sensi dell' art. 98 LTF (Seiler/von Werdt/Güngerich, Bundesgerichtsgesetz [BGG], 2015, n. 7 ad art. 98 LTF ), contro le quali il ricorrente può far valere soltanto la violazione di diritti costituzionali. Il Tribunale federale esamina la violazione di questi diritti solo se il ricorrente ha debitamente sollevato e motivato tali censure ( art. 106 cpv. 2 LTF , BERNARD CORBOZ, in Commentaire de la LTF, 2a edizione, 2014, n. 5 ad art. 98 LTF ).</w:t>
      </w:r>
    </w:p>
    <w:p>
      <w:r>
        <w:rPr>
          <w:b/>
        </w:rPr>
        <w:t>E. 2</w:t>
      </w:r>
    </w:p>
    <w:p>
      <w:r>
        <w:t>Per giurisprudenza, la questione se nel singolo caso l'effetto sospensivo vada mantenuto o revocato deve fondarsi su motivi chiari e convincenti e risultare da una ponderazione degli interessi pubblici e privati in discussione. L'autorità chiamata a pronunciarsi in tal senso fonda di principio la sua decisione sui documenti agli atti, che esamina in un giudizio in cui la ponderazione degli interessi avviene "prima facie". Essa beneficia in questo ambito di un ampio potere di apprezzamento ( DTF 129 II 286 consid. 3 pag 289 segg.). Per quanto appaia manifesto, può tenere conto anche del presumibile esito della lite ( DTF 117 V 185 consid. 2b pag. 191).</w:t>
      </w:r>
    </w:p>
    <w:p>
      <w:r>
        <w:rPr>
          <w:b/>
        </w:rPr>
        <w:t>E. 3</w:t>
      </w:r>
    </w:p>
    <w:p>
      <w:r>
        <w:t>Nell'evenienza concreta la Corte cantonale ha giustamente considerato che la ricorrente non è più titolare di un permesso di dimora che l'autorizzi a restare in Svizzera come risulta dalle sentenze del Tribunale federale del 12 giugno e 10 agosto 2018 che la riguardano (sentenze 2C_205/2017 e 2F_12/2018). La sua situazione deve essere equiparata a quella di chi risiede all'estero. Inoltre, per giurisprudenza costante, pendente causa l'interesse pubblico a non versare le prestazioni sociali prevale su quello della richiedente, quest'ultima potendo nell'ipotesi di una reiezione del ricorso, incontrare maggiore difficoltà a restituirli ( DTF 119 V 503 consid. 4 pag. 507 e sentenza 9C_647/2015 consid. 3). La ricorrente da parte sua invoca una serie di norme costituzionali e convenzionali senza spiegare nella dovuta forma in che modo esse sarebbero in concreto state violate dal giudice cantonale. Il ricorso è pertanto ai limiti dell'ammissibilità (art. 42 cpv. 2 e 106 cpv. 2 LTF). Il solo fatto di riportare di avere 70 anni e di avere gravi problemi di salute, peraltro non documentati, non giustifica perché questo suo interesse dovrebbe prevalere su quello pubblico sopra citato. Come indicato dal Tribunale cantonale la ricorrente non presenta uno stato di salute incompatibile con un suo rientro in Italia, dove peraltro potrebbe essere curata per i suoi asseriti problemi di salute. Il mancato ripristino del versamento delle prestazioni complementari, come pure della copertura delle spese medico sanitarie in Svizzera, sia pure a titolo cautelativo, non viola nessuno dei numerosi principi costituzionali invocati. Per riallacciarsi alla giurisprudenza sopracitata, neppure il presumibile esito del gravame gioca in favore della ricorrente. Il ricorso si rivela pertanto manifestamente infondato e deve essere respinto con motivazione sommaria in applicazione dell' art. 109 cpv. 2 lett. a e cpv. 3 LTF .</w:t>
      </w:r>
    </w:p>
    <w:p>
      <w:r>
        <w:rPr>
          <w:b/>
        </w:rPr>
        <w:t>E. 4</w:t>
      </w:r>
    </w:p>
    <w:p>
      <w:r>
        <w:t>L'emanazione della presente sentenza rende priva d'oggetto la domanda di effetto sospensivo e quella relativa agli altri provvedimenti cautelativi per la procedura federale.</w:t>
      </w:r>
    </w:p>
    <w:p>
      <w:r>
        <w:rPr>
          <w:b/>
        </w:rPr>
        <w:t>E. 5</w:t>
      </w:r>
    </w:p>
    <w:p>
      <w:r>
        <w:t>Visto l'esito del ricorso, la ricorrente, peraltro rappresentata da una persona non iscritta all'albo degli avvocati, non ha diritto a un'indennità per le spese ripetibili ( art. 64 LTF ). In applicazione dell' art. 66 cpv. 2 LTF si può eccezionalmente rinunciare a prelevare spese giudiziarie. La domanda di assistenza giudiziaria della ricorrente volta ad ottenere la dispensa dal pagamento delle spese giudiziarie è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