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9C_287/2017 vom 22. August 2017</w:t>
      </w:r>
    </w:p>
    <w:p>
      <w:r>
        <w:t>Bundesgericht, 2017-08-22, FR</w:t>
      </w:r>
    </w:p>
    <w:p>
      <w:r>
        <w:rPr>
          <w:b/>
        </w:rPr>
        <w:t xml:space="preserve">Quelle: </w:t>
      </w:r>
      <w:r>
        <w:t>https://mcp.opencaselaw.ch/entscheid/bger_9C_287_2017</w:t>
      </w:r>
    </w:p>
    <w:p>
      <w:r>
        <w:t>FR: TF 9C_287/2017 du 22 août 2017</w:t>
      </w:r>
    </w:p>
    <w:p>
      <w:r>
        <w:t>IT: TF 9C_287/2017 del 22 agosto 2017</w:t>
      </w:r>
    </w:p>
    <w:p>
      <w:pPr>
        <w:pStyle w:val="Heading2"/>
      </w:pPr>
      <w:r>
        <w:t>Erwägungen</w:t>
      </w:r>
    </w:p>
    <w:p>
      <w:r>
        <w:rPr>
          <w:b/>
        </w:rPr>
        <w:t>E. 1</w:t>
      </w:r>
    </w:p>
    <w:p>
      <w:r>
        <w:t>Dans la mesure où le recourant entend prendre des conclusions à l'encontre de CSS Assurance-maladie SA ("la CSS Assurance"), celles-ci concernent une société qui n'est pas partie au présent litige relevant de la seule application de l'assurance-maladie obligatoire. Comme l'a déjà mis en évidence la juridiction cantonale, la décision sur opposition à l'origine de la contestation ne concerne pas la CSS Assurance-maladie SA. Les conclusions prises à son égard sont irrecevables.</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Par exception à ce principe, il ne peut entrer en matière sur la violation d'un droit fondamental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3</w:t>
      </w:r>
    </w:p>
    <w:p>
      <w:r>
        <w:t>Le litige porte sur le droit du recourant à la prise en charge par la caisse-maladie intimée des frais de l'intervention chirurgicale réalisée en France par le docteur C.________. Il est constant - et l'assuré ne remet pas en cause les considérations y relatives des premiers juges, auxquelles il convient de renvoyer - que les conditions de la prise en charge par l'assurance obligatoire des soins d'un traitement médical effectué à l'étranger selon les art. 34 al. 2 LAMal et 36 al. 1 et 2 OAMal ne sont pas réalisées en l'espèce. Par conséquent, l'assurance-maladie obligatoire n'a pas en principe à rembourser les coûts du traitement en question. Du reste, le recourant ne se prévaut pas non plus d'une application erronée par le tribunal cantonal des règles du droit communautaire de la sécurité sociale; il n'y a pas lieu d'y revenir.</w:t>
      </w:r>
    </w:p>
    <w:p>
      <w:r>
        <w:t>En revanche, au regard des motifs du recours dans lequel sont invoquées tour à tour une promesse ou une assurance donnée, une déclaration erronée et une violation du devoir de renseignement de la caisse-maladie intimée, il y a lieu d'examiner si l'assuré peut se prévaloir du droit à la protection de la bonne foi.</w:t>
      </w:r>
    </w:p>
    <w:p>
      <w:r>
        <w:rPr>
          <w:b/>
        </w:rPr>
        <w:t>E. 4</w:t>
      </w:r>
    </w:p>
    <w:p>
      <w:r>
        <w:t>Au préalable, le recourant invoque une violation du droit d'être entendu ( art. 29 al. 2 Cst. ) ainsi que de la maxime inquisitoire ( art. 61 let . c LPGA). Il fait plus précisément grief à la juridiction cantonale de n'avoir requis ni l'édition de son dossier complet auprès de "la CSS" - le lot de pièces annoncé par l'intimée dans sa réponse au recours cantonal n'ayant selon lui jamais été produit - ni l'édition du "dossier concernant E.________", collaborateur auprès du Groupe CSS, qui lui aurait donné un préavis positif de remboursement de prestations dans le cadre d'une hospitalisation en Suisse.</w:t>
      </w:r>
    </w:p>
    <w:p>
      <w:r>
        <w:t>La violation du droit d'être entendu et du principe de la maxime inquisitoire (ou, autrement dit, du devoir d'administrer les preuves nécessaires) dans le sens invoqué par le recourant sont des questions qui n'ont pas de portée propre par rapport au grief tiré d'une mauvaise appréciation des preuves (voir arrêts 9C_747/2015 du 12 mai 2016 consid. 3.2 et 8C_15/2009 du 11 janvier 2010 consid. 3.2, in SVR 2010 IV n° 42 p. 132). Le juge peut en effet renoncer à accomplir certains actes d'instruction, sans que cela n'entraîne une violation du devoir d'administrer les preuves nécessaires ou plus généralement une violation du droit d'être entendu,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 Il s'agit par conséquent de griefs qu'il convient d'examiner avec le fond du litige.</w:t>
      </w:r>
    </w:p>
    <w:p>
      <w:r>
        <w:rPr>
          <w:b/>
        </w:rPr>
        <w:t>E. 5.1</w:t>
      </w:r>
    </w:p>
    <w:p>
      <w:r>
        <w:t>Selon l' art. 27 LPGA ,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(al. 2). Le devoir de conseils de l'assureur social comprend l'obligation de rendre la personne intéressée attentive au fait que son comportement pourrait mettre en péril la réalisation de l'une des conditions du droit aux prestations ( ATF 131 V 472 consid. 4.3 p. 480). Les conseils ou renseignements portent sur les faits que la personne qui a besoin des conseils doit connaître pour pouvoir correctement user de ses droits et obligations dans une situation concrète face à l'assureur-maladie.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(arrêt 8C_66/2009 du 7 septembre 2009 consid. 8.3, non publié in ATF 135 V 339 ; Meyer, Grundlagen, Begriff und Grenzen der Beratungspflicht der Sozialversicherungsträger nach Art. 27 Abs. 2 ATSG, in Sozialversicherungsrechtstagung 2006, n° 35 p. 27).</w:t>
      </w:r>
    </w:p>
    <w:p>
      <w:r>
        <w:t>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 art. 9 Cst. ( ATF 131 V 472 consid. 5 p. 480).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p. 636 s.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 ATF 131 V 472 consid. 5 p. 480).</w:t>
      </w:r>
    </w:p>
    <w:p>
      <w:r>
        <w:rPr>
          <w:b/>
        </w:rPr>
        <w:t>E. 5.2</w:t>
      </w:r>
    </w:p>
    <w:p>
      <w:r>
        <w:t>C'est en vain tout d'abord que le recourant allègue avoir décidé de se faire opérer en France en se fondant sur une promesse orale de l'intimée de prendre en charge les frais y relatifs. Le fait que B.________ lui aurait oralement indiqué lors d'un entretien téléphonique du 13 octobre 2014 qu'à son avis les frais lui seraient remboursés importe peu. En effet, l'assuré s'est adressé par courriel du même jour à B.________, faisant référence à leur conversation téléphonique sans pourtant mentionner une quelconque promesse que ce dernier lui aurait faite quant au remboursement des frais, et demandant expressément l'accord de l'assurance-maladie quant à la prise en charge d'une indemnité forfaitaire pour les opérations proposées par le docteur C.________ établi en France. Par ailleurs, selon les termes employés dans son courriel ("il s'agirait de deux opérations distinctes, pratiquées à quelques semaines d'intervalles"), les interventions dont il est question n'avaient à ce moment-là manifestement pas encore eu lieu. En réponse à sa demande, D.________ a fait savoir à l'assuré par courriel du 21 octobre 2014 que les conditions prévues à l' art. 36 OAMal n'étaient pas remplies. Le recourant a donc été informé, en temps utile, de l'absence de prise en charge. Il n'avait alors pas encore subi l'opération - dont il n'a au demeurant jamais indiqué la date tout au long de la procédure - ni partant pris des dispositions auxquelles il n'aurait pas pu renoncer. Il ne s'est pas trouvé, contrairement à ce qu'il invoque, devant le fait accompli. On ne peut dès lors reprocher à la caisse-maladie intimée de ne pas l'avoir informé correctement ou d'avoir créé une attente légitime à son égard.</w:t>
      </w:r>
    </w:p>
    <w:p>
      <w:r>
        <w:t>Une telle attente ou assurance ne peut pas non plus être déduite de l'argumentation du recourant selon laquelle d'autres frais d'hospitalisation dans un hôpital de Zurich lui avaient déjà été remboursés auparavant après un premier refus de la part de "la CSS". D'une part, les conditions de remboursement applicables étaient évidemment différentes de celles en cause en relation avec un séjour médical à l'étranger. Par ailleurs, le fait qu'après l'intervention de l'un des collaborateurs (E.________), la caisse-maladie intimée ou une autre assurance aurait changé d'avis après un premier refus ne permet pas d'établir la vraisemblance d'une promesse de prise en charge pour des prestations futures. Celle-ci ne résulte pas non plus de prétendues "négociations précontractuelles" puisque l'étendue de la prise en charge des prestations par l'assurance-maladie obligatoire a été confirmée dans les polices d'assurance régulièrement envoyées à l'assuré par la caisse-maladie et découle par ailleurs des dispositions de la LAMal.</w:t>
      </w:r>
    </w:p>
    <w:p>
      <w:r>
        <w:t>Au vu de ce qui précède, dans la mesure où la caisse-maladie intimée a réagi sans délai et de manière claire et complète à la demande de l'assuré, elle n'a pas violé son devoir de conseil, ni donné ou fait une information ou une promesse erronées. Le recourant ne peut pas se prévaloir du principe de la bonne foi.</w:t>
      </w:r>
    </w:p>
    <w:p>
      <w:r>
        <w:rPr>
          <w:b/>
        </w:rPr>
        <w:t>E. 5.3</w:t>
      </w:r>
    </w:p>
    <w:p>
      <w:r>
        <w:t>Finalement, au vu des pièces à disposition des premiers juges, en particulier des documents produits par la caisse-maladie intimée - à l'inverse de ce que prétend de façon quasi téméraire l'assuré (cf. bordereau de pièces accompagné d'un lot de dix-huit pièces annexé à la réponse de la caisse-maladie intimée au recours cantonal de l'assuré) -, d'autres moyens de preuves tels que le "dossier complet" du recourant ou celui "concernant E.________" n'étaient pas utiles pour forger la conviction du tribunal cantonal. Même à supposer que ces moyens auraient permis de démontrer l'existence d'une promesse antérieure au courriel du 21 octobre 2014, ils n'auraient pas mené à un résultat différent de celui auquel la juridiction cantonale est parvenue, compte tenu de la réponse claire donnée au recourant à cette date. L'appréciation (anticipée des preuves) à laquelle celle-ci a procédé est dès lors dénuée d'arbitraire.</w:t>
      </w:r>
    </w:p>
    <w:p>
      <w:r>
        <w:rPr>
          <w:b/>
        </w:rPr>
        <w:t>E. 5.4</w:t>
      </w:r>
    </w:p>
    <w:p>
      <w:r>
        <w:t>Il résulte de ce qui précède que le recours est en tous points mal fondé.</w:t>
      </w:r>
    </w:p>
    <w:p>
      <w:r>
        <w:rPr>
          <w:b/>
        </w:rPr>
        <w:t>E. 6</w:t>
      </w:r>
    </w:p>
    <w:p>
      <w:r>
        <w:t>Vu l'issue du litige, les frais judiciaires sont mis à la charge du recourant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