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9C_287/2014 vom 16. Juni 2014</w:t>
      </w:r>
    </w:p>
    <w:p>
      <w:r>
        <w:t>Bundesgericht, 2014-06-16, FR</w:t>
      </w:r>
    </w:p>
    <w:p>
      <w:r>
        <w:rPr>
          <w:b/>
        </w:rPr>
        <w:t xml:space="preserve">Quelle: </w:t>
      </w:r>
      <w:r>
        <w:t>https://mcp.opencaselaw.ch/entscheid/bger_9C_287_2014</w:t>
      </w:r>
    </w:p>
    <w:p>
      <w:r>
        <w:t>FR: TF 9C_287/2014 du 16 juin 2014</w:t>
      </w:r>
    </w:p>
    <w:p>
      <w:r>
        <w:t>IT: TF 9C_287/2014 del 16 giugno 2014</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rPr>
          <w:b/>
        </w:rPr>
        <w:t>E. 2.1</w:t>
      </w:r>
    </w:p>
    <w:p>
      <w:r>
        <w:t>La recourante ne s'en prend pas aux considérations de la juridiction cantonale selon lesquelles les conditions de l' art. 85bis RAI (en relation avec l'art. 23 des Conditions générales d'assurance [CGA] pour l'assurance d'indemnités journalières collective, Helsana Business Salary selon la LCA) pour le versement des arriérés de la rente d'invalidité à Helsana, à titre de tiers ayant fait une avance, sont réalisées. Elle reproche uniquement aux premiers juges d'avoir méconnu le principe de la surindemnisation prévu à l' art. 69 al. 2 LPGA . Elle soutient que les conditions d'une surindemnisation pour la période courant à partir du 1er mai 2011 n'étaient pas réalisées, parce que le versement des indemnités journalières pour perte de gain n'a pas entraîné une augmentation de ses revenus totaux. Ces indemnités étaient destinées à couvrir l'incapacité de travail totale survenue à partir du 29 juin 2012, alors que l'augmentation du taux d'invalidité de 50 à 70 % reconnu par l'intimé, qui a conduit à l'allocation d'une rente entière d'invalidité dès le 1er mai 2011, ne se rapportait pas à cette même incapacité de travail. Faute de concordance événementielle, voire matérielle entre les prestations de l'assurance-invalidité et celles de l'assurance perte de gain en cas de maladie, il ne pouvait y avoir surindemnisation et elle avait droit au cumul de celles-ci.</w:t>
      </w:r>
    </w:p>
    <w:p>
      <w:r>
        <w:rPr>
          <w:b/>
        </w:rPr>
        <w:t>E. 2.2</w:t>
      </w:r>
    </w:p>
    <w:p>
      <w:r>
        <w:t>Au regard des motifs et conclusions du recours, seul est contesté par la recourante le bien-fondé de la prétention en restitution que Helsana a fait valoir auprès de l'office AI (respectivement la Caisse cantonale vaudoise de compensation AVS) à titre de surindemnisation. Comme l'a constaté la juridiction cantonale, les indemnités journalières perçues par la recourante lui ont été versées par Helsana en vertu d'un contrat conclu par l'employeur de l'intéressée en faveur de son personnel conformément à la LCA (RS 221.229.1).</w:t>
      </w:r>
    </w:p>
    <w:p>
      <w:r>
        <w:t>Or, le point de savoir si, et le cas échéant dans quelle mesure, l'assurance perte de gain en cas de maladie dispose d'une créance en restitution à l'encontre de l'assuré doit, en cas de litige, être tranché dans une procédure opposant l'assurance et l'assuré; celui-ci doit contester le principe de la restitution et, le cas échéant, l'étendue de celle-ci directement auprès de l'assurance perte de gain.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(consid. 4.3 de l'arrêt 4A_24/2012 du 30 mai 2012, non publié in ATF 138 III 411 ; arrêt I 296/03 du 21 octobre 2004 consid. 4.2). Selon la jurisprudence (arrêts 8C_115/2013 du 30 septembre 2013 consid. 5.2 et I 296/03 cité, et les références),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(cf. art. 67 ss LAMal ) ou sur le droit privé (LCA).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w:t>
      </w:r>
    </w:p>
    <w:p>
      <w:r>
        <w:rPr>
          <w:b/>
        </w:rPr>
        <w:t>E. 2.3</w:t>
      </w:r>
    </w:p>
    <w:p>
      <w:r>
        <w:t>Il résulte de ce qui précède que la juridiction cantonale n'était pas habilitée à statuer dans la procédure en matière d'assurance-invalidité sur le bien-fondé de la prétention en restitution de Helsana. Dans la mesure où elle est entrée en matière sur ce point et s'est prononcée sur la prétention en restitution et son montant en admettant que la recourante avait été "surindemnisée" par le versement des arriérés de rente d'invalidité, son arrêt est contraire au droit fédéral. Le jugement cantonal doit dès lors être réformé en ce sens et le recours rejeté.</w:t>
      </w:r>
    </w:p>
    <w:p>
      <w:r>
        <w:rPr>
          <w:b/>
        </w:rPr>
        <w:t>E. 3</w:t>
      </w:r>
    </w:p>
    <w:p>
      <w:r>
        <w:t>Vu les circonstances, il y a lieu de renoncer à la perception de frais judiciaires (art. 66 al. 1, deuxième phrase, LTF).</w:t>
      </w:r>
    </w:p>
    <w:p>
      <w:r>
        <w:t>L'issue du litige n'a pas d'incidence sur la répartition des frais et dépens de première instance, au regard des conclusions de la recourante en première instance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