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9C_286/2019 vom 22. August 2019</w:t>
      </w:r>
    </w:p>
    <w:p>
      <w:r>
        <w:t>Bundesgericht, 2019-08-22, DE</w:t>
      </w:r>
    </w:p>
    <w:p>
      <w:r>
        <w:rPr>
          <w:b/>
        </w:rPr>
        <w:t xml:space="preserve">Quelle: </w:t>
      </w:r>
      <w:r>
        <w:t>https://mcp.opencaselaw.ch/entscheid/bger_9C_286_2019</w:t>
      </w:r>
    </w:p>
    <w:p>
      <w:r>
        <w:t>FR: TF 9C_286/2019 du 22 août 2019</w:t>
      </w:r>
    </w:p>
    <w:p>
      <w:r>
        <w:t>IT: TF 9C_286/2019 del 22 agosto 2019</w:t>
      </w:r>
    </w:p>
    <w:p>
      <w:pPr>
        <w:pStyle w:val="Heading2"/>
      </w:pPr>
      <w:r>
        <w:t>Erwägungen</w:t>
      </w:r>
    </w:p>
    <w:p>
      <w:r>
        <w:rPr>
          <w:b/>
        </w:rPr>
        <w:t>E. 1.1</w:t>
      </w:r>
    </w:p>
    <w:p>
      <w:r>
        <w:t>Wie sich aus der Beschwerdebegründung ergibt (vgl. BGE 123 IV 125 E. 1 S. 127; Urteil 8C_62/2018 vom 19. September 2018 E. 1.2.2, nicht publ. in: BGE 144 V 418 ), verlangt der Beschwerdeführer die Weiterausrichtung der bisherigen halben Invalidenrente ab dem 1. Januar 2009. Das im Rechtsbegehren genannte Jahr 2019 ist als Verschrieb aufzufassen, weshalb das Bundesgericht nicht daran gebunden ist (vgl. Art. 107 Abs. 1 BGG ).</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140 V 543 E. 3.2.2.2 S. 548).</w:t>
      </w:r>
    </w:p>
    <w:p>
      <w:r>
        <w:t>Der Beschwerdeführer legt im bundesgerichtlichen Verfahren neu die Berichte des Spitals B.________ vom 25. April 2019 und des Spitals C.________ vom 12. Februar 2019 ins Recht. Der erstgenannte Bericht ist - wie die entsprechenden Behauptungen - als echtes Novum von vornherein unzulässig. Weshalb der Bericht des Spitals C.________ nicht bereits im vorinstanzichen Verfahren hätte eingereicht werden können, wird nicht ausgeführt und ist auch nicht ersichtlich; er ist somit ebenfalls unzulässig.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Anspruch auf eine Rente der Invalidenversicherung setzt u.a. einen Invaliditätsgrad von mindestens 40 % voraus ( Art. 28 Abs. 1 lit. c und Abs. 2 IVG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IVG ).</w:t>
      </w:r>
    </w:p>
    <w:p>
      <w:r>
        <w:rPr>
          <w:b/>
        </w:rPr>
        <w:t>E. 2.2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141 V 9 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(SVR 2018 IV Nr. 20 S. 63, 9C_535/2017 E. 2.1; 2017 IV Nr. 4 S. 7, 9C_770/2015 E. 2.2).</w:t>
      </w:r>
    </w:p>
    <w:p>
      <w:r>
        <w:rPr>
          <w:b/>
        </w:rPr>
        <w:t>E. 2.3</w:t>
      </w:r>
    </w:p>
    <w:p>
      <w:r>
        <w:t>Die Herabsetzung oder Aufhebung einer Rente erfolgt rückwirkend ab Eintritt der für den Anspruch erheblichen Änderung, wenn der Bezüger die Leistung zu Unrecht erwirkt hat oder der ihm nach Artikel 77 zumutbaren Meldepflicht nicht nachgekommen ist ( Art. 88bis Abs. 2 lit. b IVV , sowohl in der bis Ende 2014 als auch in der seither geltenden Fassung).</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 Art. 77 IVV ). Für den Tatbestand der Meldepflichtverletzung ist ein schuldhaftes Fehlverhalten erforderlich, wobei nach ständiger Rechtsprechung bereits eine leichte Fahrlässigkeit genügt ( BGE 118 V 214 E. 2a S. 218; Urteil 9C_294/2018 vom 28. November 2018 E. 5.2 mit weiteren Hinweisen).</w:t>
      </w:r>
    </w:p>
    <w:p>
      <w:r>
        <w:rPr>
          <w:b/>
        </w:rPr>
        <w:t>E. 3</w:t>
      </w:r>
    </w:p>
    <w:p>
      <w:r>
        <w:t>Das kantonale Gericht hat in der seit März 2008 bestehenden Anstellung resp. im deswegen seit 1. Januar 2009 zusätzlich erzielten Einkommen einen Revisionsgrund im Sinn von Art. 17 Abs. 1 ATSG erblickt. Sodann hat es nach eingehender Beweiswürdigung dem SMAB-Gutachten vom 14. September 2017 Beweiskraft beigemessen. Gestützt darauf hat es für leidensangepasste Tätigkeiten eine Arbeitsfähigkeit von 100 % ab Januar 2009 resp. von 80 % ab September 2014 festgestellt. Für die Invaliditätsbemessung 2009 hat die Vorinstanz das Valideneinkommen auf Fr. 68'351.- und das Invalideneinkommen auf Fr. 59'979.- festgelegt, woraus eine Einschränkung von 12 % resultiert. Im Einkommensvergleich für das Jahr 2014 hat sie Vergleichseinkommen von Fr. 70'706.- resp. Fr. 53'524.- und somit einen Invaliditätsgrad von 24 % ermittelt. Bereits im Rückweisungsentscheid vom 28. Oktober 2016 hatte sie eine schuldhafte Meldepflichtverletzung durch den Versicherten bejaht, weil dieser das im März 2008 angetretene Arbeitsverhältnis erst mit dem bei der IV-Stelle am 17. September 2013 eingegangenen Revisionsfragebogen mitgeteilt habe. Folglich hat sie die rückwirkende Rentenaufhebung auf den 1. Januar 2009 bestätigt.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w:t>
      </w:r>
    </w:p>
    <w:p>
      <w:r>
        <w:rPr>
          <w:b/>
        </w:rPr>
        <w:t>E. 4.3.1</w:t>
      </w:r>
    </w:p>
    <w:p>
      <w:r>
        <w:t>Der Beschwerdeführer hält in Bezug auf ein Handekzem und einen Tinnitus fachärztliche Abklärungen für erforderlich. Die Vorinstanz hat im Zusammenhang mit dem Handekzem berücksichtigt, dass gewisse Tätigkeiten unzumutbar sind, und festgestellt, dass dieses dem Versicherten seit langer Zeit keine Probleme mehr bereite. Bezüglich des Tinnitus hat sie festgestellt, dass dieser bereits 2006 kompensiert und nicht behandlungsbedürftig gewesen sei und sich seither noch leicht verbessert habe. Dass diese Beweiswürdigung, die den Zeitraum vom Januar 2009 bis zum Februar 2015 betrifft, offensichtlich unrichtig (unhaltbar, willkürlich: BGE 141 IV 369 E. 6.3 S. 375; 135 II 145 E. 8.1 S. 153) sein soll, wird nicht substanziiert (vgl. Art. 106 Abs. 2 BGG ) geltend gemacht und ergibt sich insbesondere nicht aus den vom Beschwerdeführer angerufenen Berichten behandelnder Ärzte (vgl. BGE 125 V 351 E. 3b/cc S. 353) aus den Jahren 2000 resp. 2004 und 2006.</w:t>
      </w:r>
    </w:p>
    <w:p>
      <w:r>
        <w:rPr>
          <w:b/>
        </w:rPr>
        <w:t>E. 4.3.2</w:t>
      </w:r>
    </w:p>
    <w:p>
      <w:r>
        <w:t>Sodann beruft sich der Beschwerdeführer auf die Einschätzungen seines behandelnden Psychiaters; die Gutachter hätten mit diesem keine Rücksprache genommen. Indessen unterliegt das Einholen fremdanamnestischer Auskünfte grundsätzlich der Fachkenntnis und dem Ermessensspielraum des Experten (Urteile 9C_804/2018 vom 23. Januar 2019 E. 2.2; 9C_275/2016 vom 19. August 2016 E. 4.3.2), und die SMAB-Gutachter berücksichtigten - nebst den Ergebnissen der eigenen Untersuchungen - u.a. diverse Berichte des Behandlers. Somit war auch nicht (allein) ausschlaggebend, dass keine (teil- oder voll-) stationäre Behandlung stattgefunden hatte. Die SMAB-Gutachter legten nachvollziehbar dar, weshalb sie ab 2009 eine gesundheitlich bedingte Einschränkung verneinten. Anhaltspunkte dafür, dass sie dabei die Standardindikatoren gemäss BGE 141 V 281 ungenügend berücksichtigt haben sollen, sind nicht ersichtlich, zumal ein strukturiertes Beweisverfahren dort entbehrlich bleibt, wo im Rahmen beweiswertiger fachärztlicher Berichte eine Arbeitsunfähigkeit in nachvollziehbar begründeter Weise verneint wird (vgl. BGE 143 V 418 E. 7.1 S. 429).</w:t>
      </w:r>
    </w:p>
    <w:p>
      <w:r>
        <w:rPr>
          <w:b/>
        </w:rPr>
        <w:t>E. 4.3.3</w:t>
      </w:r>
    </w:p>
    <w:p>
      <w:r>
        <w:t>Weiter macht der Beschwerdeführer geltend, die Kopfschmerzen und Migräneattacken seien ungenügend berücksichtigt worden. Die SMAB-Experten erkannten eine psychogene Überlagerung der Kopfschmerzen, die sie in die Prüfung der Indikatoren gemäss BGE 141 V 281 einbezogen. Zudem schlossen sie auf jeweils vorübergehende Arbeitsunfähigkeit bei "vier bis fünf wahrscheinlichen Migräneattacken im Monat", wobei diese nach Angaben des Versicherten zwei bis fünf Stunden anhalten und recht gut auf Medikamente und Bettruhe ansprechen. Das kantonale Gericht hat den vom Versicherten ab Sommer 2018 selbstständig geführten und im vorinstanzlichen Verfahren eingereichten Kopfwehkalender "aus naheliegenden Gründen" nicht als geeignet erachtet, den Sachverhalt zu objektivieren. Dem ist beizupflichten, zumal (nachträgliche) subjektive Angaben über das Auftreten von Kopfschmerz allein nicht auf Arbeitsunfähigkeit schliessen lassen und das genannte Dokument auch keine Information über die Schmerzintensität, die jeweilige Behandlung oder deren Erfolg enthält. Die Vorinstanz hat nicht offensichtlich unrichtig festgestellt, Gesprächstherapie, Medikation und Physiotherapie hätten zu einer Besserung des Gesundheitszustandes geführt, und als "Therapiereserve" sei die Intensivierung der psychiatrischen Behandlung und eine Optimierung der Migräne-Medikation zu nennen.</w:t>
      </w:r>
    </w:p>
    <w:p>
      <w:r>
        <w:rPr>
          <w:b/>
        </w:rPr>
        <w:t>E. 4.4</w:t>
      </w:r>
    </w:p>
    <w:p>
      <w:r>
        <w:t>Eine jeweils ganztägige Arbeitsunfähigkeit für vier bis fünf Migräneattacken pro Monat (vgl. E. 4.3.3) ergibt eine durchschnittliche Einschränkung von rund 15 %. Ob die SMAB-Gutachter und die Vorinstanz eine solche trotz der vorübergehenden Natur der Attacken hätten berücksichtigen müssen (vgl. Urteil 8C_179/2018 vom 22. Mai 2018 E. 4.2), braucht nicht beantwortet zu werden. Ebenso kann offenbleiben, ob die im September 2014 eingetretene und vom kantonalen Gericht in Anschlag gebrachte Verschlechterung des Gesundheitszustandes, welche die SMAB-Experten einzig als Reaktion auf die Einstellung der Rente und die angekündigte Rückforderung erklärten, invalidenversicherungsrechtlich überhaupt relevant ist (vgl. Urteil 9C_740/2018 vom 7. Mai 2019 E. 5.2.1 mit Hinweisen).</w:t>
      </w:r>
    </w:p>
    <w:p>
      <w:r>
        <w:t>Auch wenn zu Gunsten des Versicherten sowohl der ab September 2014 verschlechterte Gesundheitszustand als auch infolge der Migräne eine (zusätzliche) Einschränkung der Arbeitsfähigkeit um 15 % berücksichtigt wird, ändert sich nichts am Ausgang des Verfahrens (vgl. E. 5.3).</w:t>
      </w:r>
    </w:p>
    <w:p>
      <w:r>
        <w:rPr>
          <w:b/>
        </w:rPr>
        <w:t>E. 4.5</w:t>
      </w:r>
    </w:p>
    <w:p>
      <w:r>
        <w:t>Nach dem Gesagten hat das kantonale Gericht kein Recht verletzt, indem es auf das SMAB-Gutachten abgestellt und auf weitere medizinische Abklärungen verzichtet hat. Die vorinstanzliche Beweiswürdigung und die Feststellungen betreffend die Arbeitsfähigkeit (E. 3) sind auch nicht offensichtlich unrichtig; sie bleiben - zumindest im soeben dargelegten Umfang (E. 4.4. Abs. 2) - für das Bundesgericht verbindlich (E. 1.3).</w:t>
      </w:r>
    </w:p>
    <w:p>
      <w:r>
        <w:rPr>
          <w:b/>
        </w:rPr>
        <w:t>E. 5.1</w:t>
      </w:r>
    </w:p>
    <w:p>
      <w:r>
        <w:t>Weiter bemängelt der Beschwerdeführer die Invaliditätsbemessung. Für das Invalideneinkommen beruft er sich auf den Eintritt des Gesundheitsschadens, weshalb er an das 1995 oder 1998 erzielte Einkommen anknüpfen will; zudem sei eine überdurchschnittliche Einkommenssteigerung, zumindest aber die Nominallohnentwicklung zu berücksichtigen. Sodann hält er dafür, beim Invalideneinkommen die Einschränkungen infolge der Migräneattacken zu berücksichtigen.</w:t>
      </w:r>
    </w:p>
    <w:p>
      <w:r>
        <w:rPr>
          <w:b/>
        </w:rPr>
        <w:t>E. 5.2.1</w:t>
      </w:r>
    </w:p>
    <w:p>
      <w:r>
        <w:t>Für die Ermittlung des Valideneinkommens ist entscheidend, was der Versicherte im Zeitpunkt der Invaliditätsbemessung (hier 2009 resp. 2014)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SVR 2009 IV Nr. 28 S. 79, 8C_576/2008 E. 6.2; Urteil 9C_63/2018 vom 9. November 2018 E. 4.4.2).</w:t>
      </w:r>
    </w:p>
    <w:p>
      <w:r>
        <w:rPr>
          <w:b/>
        </w:rPr>
        <w:t>E. 5.2.2</w:t>
      </w:r>
    </w:p>
    <w:p>
      <w:r>
        <w:t>Die Vorinstanz hat für die Festsetzung des Valideneinkommens auf ihren Rückweisungsentscheid vom 28. Oktober 2016 verwiesen. In dessen E. 4.4.4 stellte sie - unbestritten und verbindlich (E. 1.3) - fest, dass der Versicherte zwischen 1993 und 1998 schwankende Einkommen erzielt habe. Seine Arbeitgeberin Conrad &amp; Würmli AG sei Ende 1996 Konkurs gegangen; anschliessend habe er bei der damals neu gegründeten Herzog Umbauten AG gearbeitet. Mitte 1998 sei das Handekzem, das die weitere Tätigkeit als Maurer verunmöglicht hatte, ausgebrochen.</w:t>
      </w:r>
    </w:p>
    <w:p>
      <w:r>
        <w:t>Die Vermutung, dass ohne Gesundheitsschaden die Tätigkeit bei der konkursiten Arbeitgeberin fortgeführt worden wäre, lässt sich nicht halten; auf das 1995 erzielte Einkommen kann daher nicht abgestellt werden. Indessen kann das Einkommen des Jahres 1998, laut Auszug aus dem Individuellen Konto Fr. 62'311.-, herangezogen werden. Angepasst an die Nominallohnentwicklung ergibt sich ein Valideneinkommen von Fr. 72'212.- (2009) resp. Fr. 74'761.- (2014). Ein konkreter Anhaltspunkt für eine überdurchschnittliche Einkommenssteigerung, etwa eine erfolgte Anmeldung für eine bestimmte Weiterbildung, wird nicht geltend gemacht und ist auch nicht ersichtlich.</w:t>
      </w:r>
    </w:p>
    <w:p>
      <w:r>
        <w:rPr>
          <w:b/>
        </w:rPr>
        <w:t>E. 5.3</w:t>
      </w:r>
    </w:p>
    <w:p>
      <w:r>
        <w:t>Wird das von der Vorinstanz berücksichtigte Invalideneinkommen um 15 % reduziert (vgl. E. 4.4), beträgt es Fr. 50'982.- (2009) resp. Fr. 45'495.- (2014). Daraus resultiert ein Invaliditätsgrad von 29 % (2009) resp. 39 % (2014). Damit ist ein Rentenanspruch ausgeschlossen resp. die Rentenaufhebung rechtens (E. 2.1 und 2.2).</w:t>
      </w:r>
    </w:p>
    <w:p>
      <w:r>
        <w:rPr>
          <w:b/>
        </w:rPr>
        <w:t>E. 6.1</w:t>
      </w:r>
    </w:p>
    <w:p>
      <w:r>
        <w:t>Schliesslich hält der Beschwerdeführer die Rückwirkung der Rentenaufhebung für unzulässig, weil er guten Glaubens gewesen sei, als er die Einkommenssteigerung nicht gemeldet habe. Er sei davon ausgegangen, dass mit der Anpassung des Valideneinkommens der Rentenanspruch unverändert bleibe.</w:t>
      </w:r>
    </w:p>
    <w:p>
      <w:r>
        <w:rPr>
          <w:b/>
        </w:rPr>
        <w:t>E. 6.2</w:t>
      </w:r>
    </w:p>
    <w:p>
      <w:r>
        <w:t>Die Vorinstanz hat im Rückweisungsentscheid vom 28. Oktober 2016 (verbindlich; E. 1.3) festgestellt, dass der Beschwerdeführer 2008 noch Fr. 28'004.- verdient habe und er dieses Einkommen 2009 auf Fr. 42'244.- habe steigern können. In der Rentenverfügung und der Revisionsmitteilung sei er explizit auf seine Meldepflicht für Veränderungen in den Einkommensverhältnissen aufmerksam gemacht worden. Unter diesen Umständen hat die Vorinstanz kein Recht verletzt, wenn sie das Verhalten des Versicherten als (zumindest) grobfahrlässig wertete (vgl. E. 2.3). Die Beschwerde ist auch in diesem Punkt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