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286/2015 vom 12. Januar 2016</w:t>
      </w:r>
    </w:p>
    <w:p>
      <w:r>
        <w:t>Bundesgericht, 2016-01-12, FR</w:t>
      </w:r>
    </w:p>
    <w:p>
      <w:r>
        <w:rPr>
          <w:b/>
        </w:rPr>
        <w:t xml:space="preserve">Quelle: </w:t>
      </w:r>
      <w:r>
        <w:t>https://mcp.opencaselaw.ch/entscheid/bger_9C_286_2015</w:t>
      </w:r>
    </w:p>
    <w:p>
      <w:r>
        <w:t>FR: TF 9C 286/2015 du 12 janvier 2016</w:t>
      </w:r>
    </w:p>
    <w:p>
      <w:r>
        <w:t>IT: TF 9C 286/2015 del 12 gennaio 2016</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l'intimé à une rente d'invalidité, en particulier sur l'évaluation de sa capacité résiduelle de travail par le tribunal cantonal. Compte tenu toutefois des critiques de l'office recourant contre le jugement contesté (concernant le devoir d'allégation et de motivation, cf. FLORENCE AUBRY GIRARDIN, in: Commentaire de la LTF, 2e éd. 2014, n° 24 ad art. 42 LTF et la jurisprudence citée), il s'agit plus particulièrement d'examiner si la juridiction cantonale a tenu compte à tort de facteurs psychosociaux et socioculturels dans son évaluation de la capacité de travail de l'assuré. L'acte attaqué expose correctement les normes et la jurisprudence sur l'évaluation de l'incapacité de travail et l'appréciation des preuves. Il suffit d'y renvoyer.</w:t>
      </w:r>
    </w:p>
    <w:p>
      <w:r>
        <w:rPr>
          <w:b/>
        </w:rPr>
        <w:t>E. 3.1</w:t>
      </w:r>
    </w:p>
    <w:p>
      <w:r>
        <w:t>Les premiers juges se sont fondés sur les conclusions des experts judiciaires. Ils ont estimé qu'on ne pouvait exiger de l'intimé qu'il mît en valeur sa capacité de travail de 50 %, avec baisse de rendement de 20 à 30 %, ni qu'il subît une prise en charge intensive et coordonnée lui permettant d'augmenter sa capacité de travail à 100 %. En effet, les affections et les circonstances observées par les experts (durée de l'incapacité de travail, processus d'invalidation, déconditionnement, vie organisée en fonction des limitations fonctionnelles, perception altérée de ses capacités, âge avancé pour suivre une reconversion, défaut de formation, faible maîtrise de la langue écrite, etc.) rendaient illusoire la reprise d'une activité professionnelle, ce également au regard des exigences actuelles du monde économique. Ils ont considéré que la capacité de travail de l'assuré était nulle dans toutes activités.</w:t>
      </w:r>
    </w:p>
    <w:p>
      <w:r>
        <w:rPr>
          <w:b/>
        </w:rPr>
        <w:t>E. 3.2</w:t>
      </w:r>
    </w:p>
    <w:p>
      <w:r>
        <w:t>L'administration reproche au tribunal cantonal d'avoir tenu compte, dans son l'évaluation de l'incapacité de travail de l'intimé, de facteurs psychosociaux et socioculturels qui ne relèvent pas de l'assurance-invalidité.</w:t>
      </w:r>
    </w:p>
    <w:p>
      <w:r>
        <w:rPr>
          <w:b/>
        </w:rPr>
        <w:t>E. 4.1</w:t>
      </w:r>
    </w:p>
    <w:p>
      <w:r>
        <w:t>Le grief de l'office recourant est fondé. En effet, comme celui-ci l'a justement évoqué, si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(voir ATF 127 V 294 consid. 5a p. 299).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(cf. ULRICH MEYER-BLASER, Der Rechtsbegriff der Arbeitsunfähigkeit und seine Bedeutung in der Sozialversicherung, namentlich für den Einkommensvergleich in der Invaliditätsbemessung, in Schmerz und Arbeitsunfähigkeit, 2003, p. 36 ss; Lignes directrices de la Société suisse de rhumatologie pour l'expertise médicale des maladies rhumatismales et des séquelles rhumatismales d'accidents, in Bulletin des médecins suisses, 2007/88 p. 737; ULRICH MEYER, Krankheit als leistungsauslösender Begriff im Sozialversicherungsrecht, Schweizerische Ärztezeitung 2009/90 p. 585; cf. aussi arrêts 9C_499/2013 du 20 février 2013 consid. 6.4.2.2 in SVR 2014 IV n° 13 p. 50; 9C_144/2010 du 10 décembre 2010 consid. 4.1; 9C_881/2009 du 1er juin 2010 consid. 4.2.3). Or, en l'occurrence, il ressort manifestement des éléments établis par la juridiction cantonale que celle-ci s'est laissé influencer par les nombreux facteurs étrangers à l'invalidité (tels que la faible maîtrise de la langue écrite, le défaut de formation, la perception de l'assuré de ses capacités, l'organisation de la vie autour des limitations fonctionnelles et la structure du processus d'invalidation) signalés par les experts judiciaires - en fonction de l'ensemble de la situation médicale (biologique, psychique et sociale; expertise p. 21) - et s'est distancée de leur appréciation médico-théorique relative à la capacité de travail de l'intimé (50 %, avec baisse de rendement de l'ordre de 20 ou 30 %) et à son possible amendement (100 %, après réhabilitation intensive et coordonnée de quelques mois). Elle a donc violé le droit fédéral, en prenant en compte les facteurs psychosociaux ou socioculturels mentionnés qui, contrairement à ce qu'allègue l'assuré, ne sont pas relégués au second plan en raison des effets de l'épisode dépressif moyen qu'il présentait; ce trouble a été considéré par les experts judiciaires comme n'ayant pas de répercussion sur la capacité de travail.</w:t>
      </w:r>
    </w:p>
    <w:p>
      <w:r>
        <w:rPr>
          <w:b/>
        </w:rPr>
        <w:t>E. 4.2</w:t>
      </w:r>
    </w:p>
    <w:p>
      <w:r>
        <w:t>On précisera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d'oeuvre d'une part et un marché du travail structuré (permettant d'offrir un éventail d'emplois diversifiés, tant au regard des sollicitations intellectuelles que physiques) d'autre part (cf. ATF 110 V 273 consid. 4b p. 276; voir également arrêt I 350/89 du 30 avril 1991 consid. 3 in RCC 1991 p. 329). Il est certes possible de s'écarter de la notion de marché équilibré du travail lorsque, notamment, comme l'ont correctement évoqué les premiers juges, l'activité exigible, au sens de l' art. 16 LPGA ,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9C_984/2008 du 4 mai 2008 consid. 6.2; I 350/89 du 30 avril 1991 consid. 3b in RCC 1991 p. 329; I 329/88 du 25 janvier 1989 consid. 4a in RCC 1989 p. 328; 9C_659/2014 du 13 mars 2015 consid. 5.3.2). Cependant, là encore, le caractère irréaliste des possibilités de travail doit découler de l'atteinte à la santé - puisqu'une telle atteinte est indispensable à la reconnaissance d'une invalidité (cf. art. 7 et 8 LPGA ) - et non de facteurs psychosociaux ou socioculturels totalement étrangers à l'invalidité (cf. par exemple arrêts 9C_144/2010 du 10 décembre 2010 consid. 4.1; 9C_881/2009 du 1 er juin 2010 consid. 4.2.3 déjà cités). En justifiant son point de vue, selon lequel l'assuré était totalement incapable de travailler, quelle que soit l'activité envisagée, essentiellement par le processus d'invalidation très structuré et par le contexte social et en faisant abstraction de la capacité résiduelle de travail de l'intimé (pouvant au demeurant être augmentée jusqu'à 100 %) attestée par les experts en fonction de limitations fonctionnelles déterminées, la juridiction cantonale a violé le droit fédéral. L'âge de l'assuré (55 ans à l'époque de la dernière expertise [cf. ATF 138 V 457 consid. 3 p. 459], ce qui est un âge éloigné de celui à compter duquel le Tribunal fédéral admet en principe que ce facteur peut devenir déterminant et nécessite une approche concrète [cf. notamment arrêt 9C_355/2011 du 8 novembre 2011 consid. 4.4 et les références]) n'y peut rien changer.</w:t>
      </w:r>
    </w:p>
    <w:p>
      <w:r>
        <w:rPr>
          <w:b/>
        </w:rPr>
        <w:t>E. 4.3</w:t>
      </w:r>
    </w:p>
    <w:p>
      <w:r>
        <w:t>Compte tenu de ce qui précède (consid. 4.1 et 4.2), il convient de suivre les conclusions de l'expertise judiciaire (capacité de travail de 50 % avec baisse de rendement de l'ordre de 20-30 % dans une activité adaptée). L'opinion de l'office recourant, selon laquelle la diminution de rendement de 20 à 30 % retenue par les premiers juges sur la base d'une évaluation fonctionnelle réalisée au cours de ladite expertise serait également motivée par une sous-estimation, par l'assuré, de ses capacités en raison des facteurs psychosociaux et socioculturels, ne saurait être suivie dans la mesure où cette diminution de rendement dans une activité adaptée résulte clairement du rapport de synthèse de tous les experts mandatés. Dès lors que les experts judiciaires n'ont pas déterminé la date à partir de laquelle une activité adaptée (50 % avec diminution de rendement de 20 à 30 %) était exigible de la part de l'intimé, il faut annuler le jugement cantonal ainsi que la décision administrative et renvoyer le dossier à l'administration pour complément d'instruction sur ce point et nouvelle décision sur le droit à la rente.</w:t>
      </w:r>
    </w:p>
    <w:p>
      <w:r>
        <w:rPr>
          <w:b/>
        </w:rPr>
        <w:t>E. 5</w:t>
      </w:r>
    </w:p>
    <w:p>
      <w:r>
        <w:t>Vu l'issue du litige, les frais judiciaires sont mis à la charge de l'intimé ( art. 66 al. 1 LTF ) qui ne peut prétendre des dépens ( art. 68 al. 1 LTF ). L'assistance judiciaire lui est toutefois accordée puisqu'il en remplit les conditions ( art. 64 al. 1 et 2 LTF ). Il est rendu attentif au fait qu'il devra rembourser la Caisse du Tribunal fédéral s'il devient ultérieurement en mesure de le faire ( art. 64 al. 4 LTF ). Même s'il obtient gain de cause, l'office recourant n'a pas droit à des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