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9C_286/2012 vom 31. August 2012</w:t>
      </w:r>
    </w:p>
    <w:p>
      <w:r>
        <w:t>Bundesgericht, 2012-08-31, FR</w:t>
      </w:r>
    </w:p>
    <w:p>
      <w:r>
        <w:rPr>
          <w:b/>
        </w:rPr>
        <w:t xml:space="preserve">Quelle: </w:t>
      </w:r>
      <w:r>
        <w:t>https://mcp.opencaselaw.ch/entscheid/bger_9C_286_2012</w:t>
      </w:r>
    </w:p>
    <w:p>
      <w:r>
        <w:t>FR: TF 9C_286/2012 du 31 août 2012</w:t>
      </w:r>
    </w:p>
    <w:p>
      <w:r>
        <w:t>IT: TF 9C_286/2012 del 31 agosto 2012</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l'obligation de restituer des prestations complémentaires perçues à tort, singulièrement - compte tenu des conclusions du recourant - sur le refus de la juridiction cantonale de remettre l'obligation de restituer un montant de 4'899 fr. correspondant aux prestations complémentaires versées postérieurement à la communication de l'octroi de la rente d'invalidité de la prévoyance professionnelle (sur la notion de décision partielle, cf. notamment arrêt 9C_166/2011 du 24 octobre 2011 consid. 1 et les références in SVR 2012 EL n° 3 p. 7).</w:t>
      </w:r>
    </w:p>
    <w:p>
      <w:r>
        <w:rPr>
          <w:b/>
        </w:rPr>
        <w:t>E. 3</w:t>
      </w:r>
    </w:p>
    <w:p>
      <w:r>
        <w:t>Selon l'art. 25 al. 1 seconde phrase LPGA, la restitution de prestations indûment touchées ne peut être exigée lorsque l'assuré était de bonne foi et lorsque cette restitution le mettrait dans une situation difficile. Le Tribunal fédéral a précisé que, si des prestations complémentaires devaient être restituées en raison d'un versement rétroactif de rentes, on ne pouvait opposer à l'ordre de restitution une éventuelle charge trop lourde lorsque les moyens financiers résultant des versements rétroactifs intervenus existaient encore au moment où la restitution devait être opérée (cf. ATF 122 V 134 consid. 3c et d p. 140 sv. ; ATF 122 V 221 consid. 6d p. 228).</w:t>
      </w:r>
    </w:p>
    <w:p>
      <w:r>
        <w:rPr>
          <w:b/>
        </w:rPr>
        <w:t>E. 4.1</w:t>
      </w:r>
    </w:p>
    <w:p>
      <w:r>
        <w:t>En l'espèce, les premiers juges ont refusé la remise de l'obligation de restituer le montant de 4'899 fr. au seul motif que la condition de la bonne foi faisait défaut. Ils se sont implicitement référés à leur précédent jugement du 8 juillet 2008, dans lequel ils avaient considéré que la bonne foi du recourant pour la période postérieure à la communication de l'octroi de la rente d'invalidité de la prévoyance professionnelle ne pouvait être admise dès lors que, même s'il avait satisfait à son devoir de renseigner, l'assuré n'avait pas attiré l'attention de l'administration sur le fait que les prestations continuaient à lui être versées sans tenir compte du revenu sous forme de rente. Ils n'ont pas examiné la condition de la situation difficile dans la mesure où les deux conditions mentionnées étaient cumulatives.</w:t>
      </w:r>
    </w:p>
    <w:p>
      <w:r>
        <w:rPr>
          <w:b/>
        </w:rPr>
        <w:t>E. 4.2</w:t>
      </w:r>
    </w:p>
    <w:p>
      <w:r>
        <w:t>D'après les termes de ses conclusions, le recourant demande à ce qu'il soit constaté que les conditions d'une remise de l'obligation de restituer sont remplies. Il paraît contester tant l'analyse de la condition de la bonne foi que celle de la situation difficile. Cependant, son argumentation ne porte que sur sa situation financière au moment de la restitution. Il explique effectivement que la restitution exigée entraînerait pour lui des conséquences pénibles financièrement et tente de démontrer que les différents dessaisissements de fortune correspondant au total peu ou prou au versement rétroactif de sa caisse de pensions ont été effectués moyennant contre-prestations (remboursement d'emprunts à des membres de sa famille, achat d'une voiture, impôts, etc.) mais n'argumente nullement sur la condition de la bonne foi. Par conséquent, son argumentation n'est pas pertinente puisqu'elle ne s'attaque pas aux considérants du jugement cantonal (cf. consid. 4.1) qui ne semble en outre pas entaché d'une erreur manifeste qu'il conviendrait de corriger d'office (cf. consid. 1).</w:t>
      </w:r>
    </w:p>
    <w:p>
      <w:r>
        <w:rPr>
          <w:b/>
        </w:rPr>
        <w:t>E. 5</w:t>
      </w:r>
    </w:p>
    <w:p>
      <w:r>
        <w:t>Le recours doit être rejeté selon la procédure simplifiée de l' art. 109 al. 2 let. a LTF , sans échange d'écritures dès lors qu'il est manifestement mal fondé. Vu l'issue du litige, les frais judiciaires sont mis à la charge du recourant ( art. 66 al. 1 LTF ) qui ne peut prétendre des dépens ( art. 68 al. 1 LTF ). L'assistance judiciaire (portant uniquement sur le paiement des frais judiciaires) lui est octroyée dès lors que les conditions auxquelles l' art. 64 al. 1 et 2 LTF subordonne son attribution sont réalisées. L'assuré est toutefois rendu attentif au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