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286/2010 vom 8. Juni 2010</w:t>
      </w:r>
    </w:p>
    <w:p>
      <w:r>
        <w:t>Bundesgericht, 2010-06-08, DE</w:t>
      </w:r>
    </w:p>
    <w:p>
      <w:r>
        <w:rPr>
          <w:b/>
        </w:rPr>
        <w:t xml:space="preserve">Quelle: </w:t>
      </w:r>
      <w:r>
        <w:t>https://mcp.opencaselaw.ch/entscheid/bger_9C_286_2010</w:t>
      </w:r>
    </w:p>
    <w:p>
      <w:r>
        <w:t>FR: TF 9C 286/2010 du 8 juin 2010</w:t>
      </w:r>
    </w:p>
    <w:p>
      <w:r>
        <w:t>IT: TF 9C 286/2010 del 8 giugno 2010</w:t>
      </w:r>
    </w:p>
    <w:p>
      <w:pPr>
        <w:pStyle w:val="Heading2"/>
      </w:pPr>
      <w:r>
        <w:t>Regeste</w:t>
      </w:r>
    </w:p>
    <w:p>
      <w:r>
        <w:t>Ergänzungsleistung zur AHV/IV | Ergänzungsleistung</w:t>
      </w:r>
    </w:p>
    <w:p>
      <w:pPr>
        <w:pStyle w:val="Heading2"/>
      </w:pPr>
      <w:r>
        <w:t>Erwägungen</w:t>
      </w:r>
    </w:p>
    <w:p>
      <w:r>
        <w:rPr>
          <w:b/>
        </w:rPr>
        <w:t>E. 1.1</w:t>
      </w:r>
    </w:p>
    <w:p>
      <w:r>
        <w:t>Soweit das kantonale Gericht (hinsichtlich der bis Ende Oktober 2006 zu Unrecht ausgerichteten Ergänzungsleistungen im Betrag von Fr. 37'945.-) den guten Glauben des Beschwerdeführers bejaht und die Sache zur Prüfung des zusätzlichen Erlasskriteriums einer wirtschaftlich grossen Härte an die Verwaltung zurückgewiesen hat, handelt es sich beim angefochtenen Entscheid um einen vorinstanzlichen Rückweisungsentscheid, mit welchem eine ergänzende Sachverhaltsabklärung angeordnet wurde. Insoweit ist auf die Beschwerde des Versicherten rechtsprechungsgemäss nicht einzutreten (Urteil 9C_234/2007 vom 3. Oktober 2007).</w:t>
      </w:r>
    </w:p>
    <w:p>
      <w:r>
        <w:rPr>
          <w:b/>
        </w:rPr>
        <w:t>E. 1.2</w:t>
      </w:r>
    </w:p>
    <w:p>
      <w:r>
        <w:t>Ebenso wenig ist hier auf die Frage der Verrechnung näher einzugehen, liegt doch diesbezüglich weder eine hinreichend konkrete Beschwerdebegründung noch ein entsprechender Antrag vor.</w:t>
      </w:r>
    </w:p>
    <w:p>
      <w:r>
        <w:rPr>
          <w:b/>
        </w:rPr>
        <w:t>E. 2</w:t>
      </w:r>
    </w:p>
    <w:p>
      <w:r>
        <w:t>Zu prüfen ist hingegen, ob die Vorinstanz mit Bezug auf die ab Anfang November 2006 unrechtmässig bezogenen Ergänzungsleistungen in Höhe von insgesamt Fr. 18'537.- den guten Glauben des Beschwerdeführers als Erlassvoraussetzung im Sinne von Art. 25 Abs. 1 zweiter Satz ATSG und Art. 4 Abs. 1 ATSV zu Recht verneint hat.</w:t>
      </w:r>
    </w:p>
    <w:p>
      <w:r>
        <w:rPr>
          <w:b/>
        </w:rPr>
        <w:t>E. 2.1</w:t>
      </w:r>
    </w:p>
    <w:p>
      <w:r>
        <w:t>Wie das kantonale Gericht zutreffend dargelegt hat, ist der gute Glaube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2008 AHV Nr. 13 S. 41, 9C_14/2007 E. 4.1 mit Hinweis). Es ist zu unterscheiden zwischen dem guten Glauben als fehlendem Unrechtsbewusstsein und der Frage, ob sich jemand unter den gegebenen Umständen auf den guten Glauben berufen kann und ob er bei zumutbarer Aufmerksamkeit den bestehenden Rechtsmangel hätte erkennen sollen. Das Unrechtsbewusstsein gehört zum inneren Tatbestand und ist daher Tatfrage, die nach Massgabe von Art. 105 Abs. 1 BGG von der Vorinstanz verbindlich beantwortet wird. Demgegenüber handelt es sich bei der gebotenen Aufmerksamkeit um eine frei überprüfbare Rechtsfrage, soweit es darum geht, festzustellen, ob sich jemand angesichts der jeweiligen tatsächlichen Verhältnisse auf den guten Glauben berufen kann ( BGE 122 V 221 E. 3 S. 223; SVR 2008 AHV Nr. 13 S. 41, 9C_14/2007 E. 4.2, 2007 EL Nr. 8 S. 19, 8C_1/2007 E. 2.2).</w:t>
      </w:r>
    </w:p>
    <w:p>
      <w:r>
        <w:rPr>
          <w:b/>
        </w:rPr>
        <w:t>E. 3</w:t>
      </w:r>
    </w:p>
    <w:p>
      <w:r>
        <w:t>Die Vorinstanz hat das fehlende Unrechtsbewusstsein des Beschwerdeführers in für das Bundesgericht verbindlicher Weise bejaht. Nach den für das Bundesgericht ebenfalls verbindlichen Feststellungen des kantonalen Gerichts rechnete die Steuerbehörde mit Veranlagungsverfügung vom 3. November 2006 erstmals das Wohnrecht als geldwerte Leistung in der Höhe von Fr. 8372.- pro Jahr auf, was dem Beschwerdeführer sicherlich nicht entgangen sei, da das steuerbare Einkommen um diesen Betrag erhöht wurde. Den vorinstanzlichen Schlussfolgerungen ist sodann beizupflichten, wonach der Beschwerdeführer spätestens ab November 2006 davon ausgehen musste, dass das unentgeltliche Wohnrecht auch bei der Ermittlung seines EL-Anspruchs einnahmewirksam zu berücksichtigen war. Dass er sich auch in diesem Zeitpunkt noch nicht mit der Ausgleichskasse in Verbindung setzte, um die Rechtslage zu klären, muss ihm als grobe Nachlässigkeit vorgeworfen werden. Ist demnach die bereits seit November 2003 zu Unrecht erfolgte Leistungsausrichtung ab November 2006 auf eine grobfahrlässige Meldepflichtverletzung zurückzuführen, entfällt der gute Glaube des Beschwerdeführers ab letztgenanntem Zeitpunkt. Der in der Beschwerdeschrift vorgebrachte Einwand, die fragliche Meldung sei "schlicht und einfach vergessen" worden, führt zu keiner andern Betrachtungsweise. Nach dem Gesagten kann die Rückforderung zumindest im Umfang von Fr. 18'537.- nicht erlassen werden.</w:t>
      </w:r>
    </w:p>
    <w:p>
      <w:r>
        <w:rPr>
          <w:b/>
        </w:rPr>
        <w:t>E. 4</w:t>
      </w:r>
    </w:p>
    <w:p>
      <w:r>
        <w:t>Die im Sinne von Art. 109 Abs. 2 lit. a BGG offensichtlich unbegründete Beschwerde ist, soweit zulässig, im vereinfachten Verfahren abzuweisen.</w:t>
      </w:r>
    </w:p>
    <w:p>
      <w:r>
        <w:rPr>
          <w:b/>
        </w:rPr>
        <w:t>E. 5</w:t>
      </w:r>
    </w:p>
    <w:p>
      <w:r>
        <w:t>Umständehalber werden keine Gerichtskosten erhoben (Art. 66 Abs. 1 zweiter Satz BGG). Damit ist das Gesuch des Beschwerdeführers um unentgeltliche Rechtspflege im Sinne der Befreiung von den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