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9C_285/2014 vom 30. Mai 2014</w:t>
      </w:r>
    </w:p>
    <w:p>
      <w:r>
        <w:t>Bundesgericht, 2014-05-30, DE</w:t>
      </w:r>
    </w:p>
    <w:p>
      <w:r>
        <w:rPr>
          <w:b/>
        </w:rPr>
        <w:t xml:space="preserve">Quelle: </w:t>
      </w:r>
      <w:r>
        <w:t>https://mcp.opencaselaw.ch/entscheid/bger_9C_285_2014</w:t>
      </w:r>
    </w:p>
    <w:p>
      <w:r>
        <w:t>FR: TF 9C_285/2014 du 30 mai 2014</w:t>
      </w:r>
    </w:p>
    <w:p>
      <w:r>
        <w:t>IT: TF 9C_285/2014 del 30 maggio 2014</w:t>
      </w:r>
    </w:p>
    <w:p>
      <w:pPr>
        <w:pStyle w:val="Heading2"/>
      </w:pPr>
      <w:r>
        <w:t>Erwägungen</w:t>
      </w:r>
    </w:p>
    <w:p>
      <w:r>
        <w:rPr>
          <w:b/>
        </w:rPr>
        <w:t>E. 1</w:t>
      </w:r>
    </w:p>
    <w:p>
      <w:r>
        <w:t>Die Beschwerde richtet sich gegen einen Zwischenentscheid im Sinne von Art. 92 f. BGG. Zwischenverfügungen, mit denen eine Begutachtung angeordnet wird, sind vor kantonalem Versicherungsgericht resp. Bundesverwaltungsgericht anfechtbar ( BGE 137 V 210 E. 3.4.2.7 S. 256). Vor Bundesgericht getragen kann ein Rechtsstreit um Fragen der Anordnung einer Administrativbegutachtung jedoch nur,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w:t>
      </w:r>
    </w:p>
    <w:p>
      <w:r>
        <w:t>Die Beschwerdeführerin bestreitet die Verhältnismässigkeit resp. Notwendigkeit einer Administrativbegutachtung mit den Argumenten, eine materielle Revision nach Art. 17 Abs. 1 ATSG nach langjährigem Rentenbezug widerspreche der Rechtssicherheit und dem Vertrauensprinzip (Ziff. 3 und 22 ff. der Beschwerdeschrift), sowie, es handle sich um die Einholung einer unnötigen</w:t>
      </w:r>
    </w:p>
    <w:p>
      <w:r>
        <w:t>second opinion (Ziff. 27; vgl. BGE 138 V 271 E. 1.1 S. 275). Materielle Einwendungen wie diese können dem Bundesgericht nach dem Gesagten nicht schon im Rahmen eines Zwischenverfahrens zur Beurteilung vorgelegt werden. Das gilt auch, was die Rüge angeht, die Anordnung einer polydisziplinären Expertise verhindere eine gütliche Einigung über die Begutachtung, für welche bei einer bidisziplinären Raum bestehen würde (Ziff. 28; vgl. BGE 139 V 349 E. 5.2.2.3 S. 356).</w:t>
      </w:r>
    </w:p>
    <w:p>
      <w:r>
        <w:t>Das Vorbringen schliesslich, die Begutachtung sei nicht zumutbar, weil sie die Beschwerdeführerin übermässig belaste (Ziff. 16-21), betrifft zwar nicht die Gewährleistung fairer Rahmenbedingungen der Begutachtung und die Güte der daraus resultierenden Entscheidungsgrundlage. Substantielle Anhaltspunkte für eine Unzumutbarkeit der Begutachtung sind indes nicht ersichtlich (vgl. auch E. 2.4.4 des angefochtenen Entscheids). Schon insoweit stellt sich die Frage, ob die Begutachtung unter diesem Aspekt einen nicht wieder gutzumachenden Nachteil mit sich bringen könnte ( Art. 93 Abs. 1 lit. a BGG ), nicht. Ohnehin ist die Frage, ob eine gutachtliche Abklärung medizinisch verantwortbar ist, letztlich vom ärztlichen Sachverständigen zu beantworten (Urteil 9C_723/2013 vom 21. Oktober 2013 E. 2.3).</w:t>
      </w:r>
    </w:p>
    <w:p>
      <w:r>
        <w:rPr>
          <w:b/>
        </w:rPr>
        <w:t>E. 3</w:t>
      </w:r>
    </w:p>
    <w:p>
      <w:r>
        <w:t>Die Beschwerde ist offensichtlich unzulässig ( Art. 108 Abs. 1 lit. a BGG ). Ein Schriftenwechsel ist nicht erforderlich (vgl. Art. 102 Abs. 1 BGG ).</w:t>
      </w:r>
    </w:p>
    <w:p>
      <w:r>
        <w:rPr>
          <w:b/>
        </w:rPr>
        <w:t>E. 4</w:t>
      </w:r>
    </w:p>
    <w:p>
      <w:r>
        <w:t>Dem Ausgang des Verfahrens entsprechend wird die Beschwerdeführerin kostenpflichtig ( Art. 66 Abs. 1 BGG ). Die Erledigung im vereinfachten Verfahren ( Art. 108 BGG )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