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285/2013 vom 16. September 2013</w:t>
      </w:r>
    </w:p>
    <w:p>
      <w:r>
        <w:t>Bundesgericht, 2013-09-16, DE</w:t>
      </w:r>
    </w:p>
    <w:p>
      <w:r>
        <w:rPr>
          <w:b/>
        </w:rPr>
        <w:t xml:space="preserve">Quelle: </w:t>
      </w:r>
      <w:r>
        <w:t>https://mcp.opencaselaw.ch/entscheid/bger_9C_285_2013</w:t>
      </w:r>
    </w:p>
    <w:p>
      <w:r>
        <w:t>FR: TF 9C 285/2013 du 16 septembre 2013</w:t>
      </w:r>
    </w:p>
    <w:p>
      <w:r>
        <w:t>IT: TF 9C 285/2013 del 16 settembre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In Betracht fallen dabei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2.1.2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Urteile 9C_2010/2012 vom 9. Juli 2012 E. 3.3.2; 9C_1041/2010 vom 30. März 2011 E. 5.1). In diesem Sinn zählt zu den vom Bundesgericht nur eingeschränkt überprüfbaren Tatsachenfeststellungen, ob eine anhaltende somatoforme Schmerzstörung resp.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SVR 2013 IV Nr. 6 S. 13, 9C_148/2012 E. 1.2).</w:t>
      </w:r>
    </w:p>
    <w:p>
      <w:r>
        <w:rPr>
          <w:b/>
        </w:rPr>
        <w:t>E. 2.2</w:t>
      </w:r>
    </w:p>
    <w:p>
      <w:r>
        <w:t>Die Vorinstanz hat dem von der SUVA eingeholten Gutachten des Zentrums X.________ (ZMB) vom 27. März 2012 - in dem für angepasste Tätigkeiten eine Arbeitsfähigkeit von 60 % attestiert wurde - grundsätzlich Beweiskraft beigemessen; davon ausgenommen hat sie indessen die darin enthaltene psychiatrische Einschätzung der Restarbeitsfähigkeit. Sie hat festgestellt, aus rein somatischer Sicht bestehe eine Einschränkung von 10 %. Die weitergehende Verminderung der Arbeits- und Leistungsfähigkeit sei psychisch bedingt und invalidenversicherungsrechtlich nicht relevant. Folglich hat sie die Invaliditätsbemessung der IV-Stelle bestätigt und einen Rentenanspruch verneint. Die Feststellung betreffend die somatischen Aspekte der Arbeitsfähigkeit ist für das Bundesgericht verbindlich (E. 1). Streitig und zu prüfen ist lediglich die Frage nach der psychisch begründeten Einschränkung. Dass diese resp. der darauf beruhende Rentenanspruch an der Rechtsprechung zu somatoformen Schmerzstörungen und damit vergleichbaren Leiden (E. 2.1.1) zu messen ist, wird zu Recht nicht in Abrede gestellt.</w:t>
      </w:r>
    </w:p>
    <w:p>
      <w:r>
        <w:rPr>
          <w:b/>
        </w:rPr>
        <w:t>E. 2.3.1</w:t>
      </w:r>
    </w:p>
    <w:p>
      <w:r>
        <w:t>In Bezug auf die Morbiditätskriterien (E. 2.1.1) hat das kantonale Gericht festgestellt, ein komorbides psychisches Leiden sei nicht zu diagnostizieren gewesen und ein sozialer Rückzug in allen Belangen des Lebens habe der psychiatrische Gutachter ausdrücklich verneint; ein primärer Krankheitsgewinn sei weder vom Experten benannt worden noch aus den Akten ersichtlich. Zwar könne eine chronische körperliche Begleiterkrankung angenommen werden; diese führe indessen lediglich zu einer geringgradigen Einschränkung der Arbeits- und Leistungsfähigkeit, zudem sei im Rahmen eines Schlussgesprächs zur Begutachtung gar eine Verbesserung der somatischen Beschwerden festgestellt worden. Dass diese Feststellungen offensichtlich unrichtig sein oder auf einer Rechtsverletzung beruhen sollen, ist nicht ersichtlich und wird auch nicht geltend gemacht; sie bleiben für das Bundesgericht verbindlich (E. 1). Schliesslich hat die Vorinstanz festgestellt, der Beschwerdeführer habe sich keiner eigentlichen fachspezifischen psychiatrischen Behandlung unterzogen, sondern es seien lediglich zwei bis drei Gespräche mit einer Psychologin anlässlich des Aufenthaltes in einer Rehaklinik und ein psychiatrisches Screening in einem Schmerzzentrum erfolgt; das Scheitern einer konsequent durchgeführten Behandlung sei damit nicht anzunehmen. Selbst wenn diese Feststellung offensichtlich unrichtig (d.h. unhaltbar resp. willkürlich: BGE 135 II 145 E. 8.1 S. 153; Urteil 9C_607/2012 vom 17. April 2013 E. 5.2) sein sollte - was der Beschwerdeführer indessen nicht explizit vorbringt und angesichts der vom Psychiater empfohlenen Weiterführung der "bereits etablierten medizinischen Massnahmen" nicht anzunehmen ist -, wäre lediglich dieses eine Kriterium erfüllt, was in rechtlicher Hinsicht für die Annahme einer invalidisierenden Arbeitsunfähigkeit nicht genügt.</w:t>
      </w:r>
    </w:p>
    <w:p>
      <w:r>
        <w:rPr>
          <w:b/>
        </w:rPr>
        <w:t>E. 2.3.2</w:t>
      </w:r>
    </w:p>
    <w:p>
      <w:r>
        <w:t>Soweit sich der Beschwerdeführer auf den Bericht des Zentrums S.________ vom 9. August 2010 über das zuvor durchgeführte Belastungstraining beruft, kann er nichts für sich ableiten: Während der zehn Wochen dauernden Massnahme blieb seine Präsenzzeit auf 3,25 Stunden pro Tag limitiert. Im Bericht wurde unter Verweis auf subjektive Schmerzangaben des Versicherten festgehalten, er habe "keine Bereitschaft" gezeigt, länger als am Vormittag zu arbeiten; zudem wurde eine psychotherapeutische Behandlung empfohlen. Eindeutige Ergebnisse der beruflichen Massnahme liegen somit nicht vor. Insbesondere legten die Berufsfachleute nicht einleuchtend (vgl. BGE 125 V 351 E. 3a S. 352) dar, welche Leistung sie für objektiv realisierbar (SVR 2013 IV Nr. 6 S. 13, 9C_148/2012 E. 2.3.2) hielten. Zwar betrachtete der Gutachter des Zentrums X.________ den Bericht - ohne darauf näher einzugehen - als "ohne Weiteres nachvollziehbar"; daraus allein lässt sich indessen nicht eine rechtlich relevante Arbeitsunfähigkeit ableiten. Zudem weicht der Sachverhalt des Verfahrens 9C_148/2012 (SVR 2013 IV Nr. 6 S. 13) erheblich vom hier zu beurteilenden ab; anders als in jenem Fall konnte in diesem auch fachärztlich keines der Morbiditätskriterien in ausgeprägtem Mass festgestellt werden (E. 2.3.1) und es ergibt sich unter rechtlichen, medizinischen und berufspraktischen Aspekten kein einheitliches Gesamtbild (SVR 2013 IV Nr. 6 S. 13, 9C_148/2012 E. 2.4), das auf die Annahme einer weitergehenden Arbeitsunfähigkeit schliessen lässt.</w:t>
      </w:r>
    </w:p>
    <w:p>
      <w:r>
        <w:rPr>
          <w:b/>
        </w:rPr>
        <w:t>E. 2.4</w:t>
      </w:r>
    </w:p>
    <w:p>
      <w:r>
        <w:t>Nach dem Gesagten hat die Vorinstanz in Bezug auf die psychischen Beeinträchtigungen zu Recht eine Arbeitsunfähigkeit verneint. Die Beschwerde ist unbegründet.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