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284/2023 vom 4. September 2023</w:t>
      </w:r>
    </w:p>
    <w:p>
      <w:r>
        <w:t>Bundesgericht, 2023-09-04, DE</w:t>
      </w:r>
    </w:p>
    <w:p>
      <w:r>
        <w:rPr>
          <w:b/>
        </w:rPr>
        <w:t xml:space="preserve">Quelle: </w:t>
      </w:r>
      <w:r>
        <w:t>https://mcp.opencaselaw.ch/entscheid/bger_9C_284_2023</w:t>
      </w:r>
    </w:p>
    <w:p>
      <w:r>
        <w:t>FR: TF 9C 284/2023 du 4 septembre 2023</w:t>
      </w:r>
    </w:p>
    <w:p>
      <w:r>
        <w:t>IT: TF 9C 284/2023 del 4 settembre 2023</w:t>
      </w:r>
    </w:p>
    <w:p>
      <w:pPr>
        <w:pStyle w:val="Heading2"/>
      </w:pPr>
      <w:r>
        <w:t>Regeste</w:t>
      </w:r>
    </w:p>
    <w:p>
      <w:r>
        <w:t>Ergänzungsleistung zur AHV/IV | Ergänzungsleistung</w:t>
      </w:r>
    </w:p>
    <w:p>
      <w:pPr>
        <w:pStyle w:val="Heading2"/>
      </w:pPr>
      <w:r>
        <w:t>Erwägungen</w:t>
      </w:r>
    </w:p>
    <w:p>
      <w:r>
        <w:rPr>
          <w:b/>
        </w:rPr>
        <w:t>E. 1.1</w:t>
      </w:r>
    </w:p>
    <w:p>
      <w:r>
        <w:t>Die Dritte öffentlich-rechtliche Abteilung (bis Ende Dezember 2022: Zweite sozialrechtliche Abteilung) ist zuständig für Beschwerden betreffend die Ergänzungsleistungen die bis zum 30. Juni 2023 eingereicht worden sind (vgl. Art. 82 lit. a BGG sowie Art. 31 lit. g des Reglements für das Bundesgericht vom 20. November 2006 [BGerR; SR 173.110.131] in der vom 1. Januar bis zum 30. Juni 2023 geltenden Fassung). Bei dieser Zuständigkeit bleibt es, auch wenn Beschwerden betreffend die Ergänzungsleistungen, die nach dem 1. Juli 2023 eingereicht worden sind, durch die Vierte öffentlich-rechtliche Abteilung beurteilt werden (vgl. den auf den 1. Juli 2023 in Kraft getretenen Art. 32 lit. i BGerR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2.1</w:t>
      </w:r>
    </w:p>
    <w:p>
      <w:r>
        <w:t>Streitig und zu prüfen ist, ob Bundesrecht verletzt wurde, indem das kantonale Gericht die seitens der Beschwerdegegnerin erfolgte Einstellung der Leistungen ab März 2022 sowie die Rückforderung im Umfang von Fr. 13'924.- bestätigt hat.</w:t>
      </w:r>
    </w:p>
    <w:p>
      <w:r>
        <w:rPr>
          <w:b/>
        </w:rPr>
        <w:t>E. 2.2</w:t>
      </w:r>
    </w:p>
    <w:p>
      <w:r>
        <w:t>Die für die Beurteilung der Streitsache massgeblichen rechtlichen Grundlagen wurden im angefochtenen Entscheid zutreffend wiedergegeben. Darauf wird verwiesen ( Art. 109 Abs. 3 Satz 2 BGG ).</w:t>
      </w:r>
    </w:p>
    <w:p>
      <w:r>
        <w:rPr>
          <w:b/>
        </w:rPr>
        <w:t>E. 3.1</w:t>
      </w:r>
    </w:p>
    <w:p>
      <w:r>
        <w:t>Das kantonale Gericht hat erwogen, unbestritten sei, dass sich die Beschwerdeführer seit dem 24. Mai 2021 im Ausland aufhielten und dies der Beschwerdegegnerin bis am 21. Februar 2022 nicht mitgeteilt hätten. Strittig und zu prüfen sei, ob der Auslandaufenthalt aus wichtigem Grund erfolgt sei, namentlich, ob dem Beschwerdeführer im Sinne von Art. 1a Abs. 4 lit. b ELV aufgrund von Krankheit die Rückkehr in die Schweiz unmöglich (gewesen) sei. Die Vorinstanz hat die Aktenlage, insbesondere die seitens der Beschwerdeführer eingereichten medizinischen Berichte, gewürdigt und ist zum Schluss gelangt, dass angesichts der verschiedenen geltend gemachten Krankheiten zu erwarten sei, dass bei den konsultierten Fachärzten jeweils entsprechende Berichte erstellt worden wären, welche die Beschwerdeführer hätten einfordern und der Beschwerdegegnerin einreichen können. Stattdessen seien bis dato keine aussagekräftigen Berichte eingereicht worden, welche mit dem Beweisgrad der überwiegenden Wahrscheinlichkeit eine Reiseunfähigkeit im Zeitraum nach Ablauf der 90 Tage nach dem 24. Mai 2021 belegen würden. Damit sei ein wichtiger Grund für den Auslandaufenthalt im Sinne von Art. 1a ELV nicht ausgewiesen. Mit der erst am 21. Februar 2022 erfolgten Mitteilung betreffend den Auslandaufenthalt hätten die Beschwerdeführer ihre Meldepflicht verletzt. Dass sie mit der Krankheit des Beschwerdeführers derart beschäftigt gewesen seien, dass sie sich nicht bei der Beschwerdegegnerin hätten melden können, stelle keinen entschuldbaren Grund dar. Zusammenfassend liege kein wichtiger Grund im Sinne von Art. 1a ELV für einen Auslandaufenthalt vor, weshalb die Leistungen gemäss Art. 1 Abs. 1 ELV rückwirkend auf den Beginn des Monats einzustellen gewesen seien, in dem die Beschwerdeführer den 90. Tag im Ausland verbracht hätten. Die rückwirkende Einstellung der Leistungen ab August 2021 sei angesichts des seit dem 24. Mai 2021 dauernden Auslandaufenthalts demnach nicht zu beanstanden. Da die Beschwerdegegnerin aufgrund der Meldepflichtverletzung bis im Februar 2022 weiterhin Leistungen ausgerichtet habe, erweise sich deren Rückforderung aufgrund des unrechtmässig erfolgten Bezuges als rechtens ( Art. 25 ATSG ).</w:t>
      </w:r>
    </w:p>
    <w:p>
      <w:r>
        <w:rPr>
          <w:b/>
        </w:rPr>
        <w:t>E. 3.2.1</w:t>
      </w:r>
    </w:p>
    <w:p>
      <w:r>
        <w:t>Soweit sich die Beschwerdeführer nicht mit den Erwägungen des angefochtenen Urteils auseinandersetzen und darlegen, inwiefern diese Recht verletzen, ist darauf nicht weiter einzugehen ( Art. 42 Abs. 1 und 2 BGG ).</w:t>
      </w:r>
    </w:p>
    <w:p>
      <w:r>
        <w:rPr>
          <w:b/>
        </w:rPr>
        <w:t>E. 3.2.2</w:t>
      </w:r>
    </w:p>
    <w:p>
      <w:r>
        <w:t>Im Zusammenhang mit der Beurteilung, ob mit der angeschlagenen Gesundheit von A.A.________ ein wichtiger Grund im Sinne von Art. 1a ELV für einen Auslandaufenthalt vorliegt, ist sodann insbesondere auf Folgendes hinzuweisen: Dass die Heimreise von A.A.________ durch seine Erkrankungen erschwert ist, ist unbestritten. Weshalb jedoch trotzdem nicht mit überwiegender Wahrscheinlichkeit auf eine Reiseunfähigkeit geschlossen werden kann, hat die Vorinstanz in Würdigung der aktenkundigen Arztberichte begründet. Inwiefern sie damit geradezu in Willkür verfallen sein soll, erhellt mit Blick auf die Vorbringen in der Beschwerdeschrift - die in weiten Teilen rein appellatorischer Natur ( BGE 144 V 50 E. 4.2 mit Hinweisen) sind - nicht.</w:t>
      </w:r>
    </w:p>
    <w:p>
      <w:r>
        <w:rPr>
          <w:b/>
        </w:rPr>
        <w:t>E. 4.1</w:t>
      </w:r>
    </w:p>
    <w:p>
      <w:r>
        <w:t>Zusammenfassend lassen die Einwendungen der Beschwerdeführer weder die vorinstanzlichen Sachverhaltsfeststellungen als offensichtlich unrichtig, als Ergebnis willkürlicher Beweiswürdigung oder als rechtsfehlerhaft nach Art. 95 BGG erscheinen, noch zeigen sie sonst wie eine Bundesrechtsverletzung auf (vgl. E. 1.2 hiervor). Die Beschwerde ist offensichtlich unbegründet, weshalb sie im vereinfachten Verfahren nach Art. 109 Abs. 2 lit. a und Abs. 3 BGG erledigt wird.</w:t>
      </w:r>
    </w:p>
    <w:p>
      <w:r>
        <w:rPr>
          <w:b/>
        </w:rPr>
        <w:t>E. 4.2</w:t>
      </w:r>
    </w:p>
    <w:p>
      <w:r>
        <w:t>Die unterliegenden Beschwerdeführer haben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