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9C_284/2021 vom 28. Mai 2021</w:t>
      </w:r>
    </w:p>
    <w:p>
      <w:r>
        <w:t>Bundesgericht, 2021-05-28, DE</w:t>
      </w:r>
    </w:p>
    <w:p>
      <w:r>
        <w:rPr>
          <w:b/>
        </w:rPr>
        <w:t xml:space="preserve">Quelle: </w:t>
      </w:r>
      <w:r>
        <w:t>https://mcp.opencaselaw.ch/entscheid/bger_9C_284_2021</w:t>
      </w:r>
    </w:p>
    <w:p>
      <w:r>
        <w:t>FR: TF 9C_284/2021 du 28 mai 2021</w:t>
      </w:r>
    </w:p>
    <w:p>
      <w:r>
        <w:t>IT: TF 9C_284/2021 del 28 maggio 2021</w:t>
      </w:r>
    </w:p>
    <w:p>
      <w:pPr>
        <w:pStyle w:val="Heading2"/>
      </w:pPr>
      <w:r>
        <w:t>Volltext</w:t>
      </w:r>
    </w:p>
    <w:p>
      <w:r>
        <w:t>Bundesgericht</w:t>
      </w:r>
    </w:p>
    <w:p>
      <w:r>
        <w:t>Tribunal fédéral</w:t>
      </w:r>
    </w:p>
    <w:p>
      <w:r>
        <w:t>Tribunale federale</w:t>
      </w:r>
    </w:p>
    <w:p>
      <w:r>
        <w:t>Tribunal federal</w:t>
      </w:r>
    </w:p>
    <w:p>
      <w:r>
        <w:t>9C_284/2021</w:t>
      </w:r>
    </w:p>
    <w:p>
      <w:r>
        <w:t>Urteil vom 28. Mai 2021</w:t>
      </w:r>
    </w:p>
    <w:p>
      <w:r>
        <w:t>II. sozialrechtliche Abteilung</w:t>
      </w:r>
    </w:p>
    <w:p>
      <w:r>
        <w:t>Besetzung</w:t>
      </w:r>
    </w:p>
    <w:p>
      <w:r>
        <w:t>Bundesrichter Parrino, Präsident,</w:t>
      </w:r>
    </w:p>
    <w:p>
      <w:r>
        <w:t>Gerichtsschreiberin Dormann.</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das Urteil des Sozialversicherungsgerichts des Kantons Zürich</w:t>
      </w:r>
    </w:p>
    <w:p>
      <w:r>
        <w:t>vom 29. März 2021 (IV.2020.00121).</w:t>
      </w:r>
    </w:p>
    <w:p>
      <w:r>
        <w:t>Nach Einsicht</w:t>
      </w:r>
    </w:p>
    <w:p>
      <w:r>
        <w:t>in die Beschwerde vom 3. Mai 2021 (Poststempel) gegen das Urteil des Sozialversicherungsgerichts des Kantons Zürich vom 29. März 2021, die dieses an das Bundesgericht weitergeleitet hat,</w:t>
      </w:r>
    </w:p>
    <w:p>
      <w:r>
        <w:t>in die Verfügung des Bundesgerichts vom 10. Mai 2021 an A.________, worin insbesondere auf die gesetzlichen Formerfordernisse von Beschwerden hinsichtlich Begehren und Begründung sowie auf die nur innert der Rechtsmittelfrist noch bestehende Verbesserungsmöglichkeit hingewiesen worden ist,</w:t>
      </w:r>
    </w:p>
    <w:p>
      <w:r>
        <w:t>in die daraufhin von A.________ am 12. Mai 2021 (Poststempel)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Vorschriften und weshalb sie von der Vorinstanz verletzt worden sein sollen ( BGE 134 V 53 E. 3.3 und 133 IV 286 E. 1.4), während rein appellatorische Kritik nicht genügt ( BGE 145 I 26 E. 1.3; 140 III 264 E. 2.3),</w:t>
      </w:r>
    </w:p>
    <w:p>
      <w:r>
        <w:t>dass die beiden Eingaben des Beschwerdeführers diesen inhaltlichen Mindestanforderungen offensichtlich nicht genügen, da ihnen auch nicht ansatzweise entnommen werden kann, inwiefern die vorinstanzliche Beweiswürdigung und Sachverhaltsfeststellung im Sinne von Art. 97 Abs. 1 BGG auf einer Rechtsverletzung beruhen oder qualifiziert unzutreffend (unhaltbar, willkürlich: BGE 135 II 145 E. 8.1; Urteil 9C_607/2012 vom 17. April 2013 E. 5.2) oder die darauf beruhenden Erwägungen rechtsfehlerhaft (vgl. Art. 95 BGG ) sein sollen,</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28. Mai 2021</w:t>
      </w:r>
    </w:p>
    <w:p>
      <w:r>
        <w:t>Im Namen der II. sozialrechtlichen Abteilung</w:t>
      </w:r>
    </w:p>
    <w:p>
      <w:r>
        <w:t>des Schweizerischen Bundesgerichts</w:t>
      </w:r>
    </w:p>
    <w:p>
      <w:r>
        <w:t>Der Präsident: Parrino</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