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9C_284/2009 vom 7. Dezember 2009</w:t>
      </w:r>
    </w:p>
    <w:p>
      <w:r>
        <w:t>Bundesgericht, 2009-12-07, DE</w:t>
      </w:r>
    </w:p>
    <w:p>
      <w:r>
        <w:rPr>
          <w:b/>
        </w:rPr>
        <w:t xml:space="preserve">Quelle: </w:t>
      </w:r>
      <w:r>
        <w:t>https://mcp.opencaselaw.ch/entscheid/bger_9C_284_2009</w:t>
      </w:r>
    </w:p>
    <w:p>
      <w:r>
        <w:t>FR: TF 9C_284/2009 du 7 décembre 2009</w:t>
      </w:r>
    </w:p>
    <w:p>
      <w:r>
        <w:t>IT: TF 9C_284/2009 del 7 dicembre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sozialversicherungsrechtliche Beitragspflicht Erwerbstätiger richtet sich u.a. danach, ob das in einem bestimmten Zeitraum erzielte Erwerbseinkommen als solches aus selbstständiger oder aus unselbstständiger Erwerbstätigkeit zu qualifizieren ist ( Art. 5 und 9 AHVG sowie Art. 6 ff. AHVV ).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w:t>
      </w:r>
    </w:p>
    <w:p>
      <w:r>
        <w:t>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162 E. 1, 122 V 171 E. 3a, 283 E. 2a, 119 V 161 E. 2 mit Hinweisen).</w:t>
      </w:r>
    </w:p>
    <w:p>
      <w:r>
        <w:t>Als beitragspflichtiges Einkommen aus unselbstständiger Erwerbstätigkeit gilt nicht nur unmittelbares Entgelt für geleistete Arbeit, sondern grundsätzlich jede Entschädigung oder Zuwendung, die sonstwie aus dem Arbeitsverhältnis bezogen wird, soweit sie nicht kraft ausdrücklicher gesetzlicher Vorschrift von der Beitragspflicht ausgenommen ist ( BGE 133 V 556 E. 4 S. 558). Zu dem für die Berechnung der Beiträge massgebenden Lohn gehören insbesondere Gratifikationen, Treue- und Leistungsprämien sowie der Wert von Arbeitnehmeraktien, soweit dieser den Erwerbspreis übersteigt und der Arbeitnehmer über die Aktien verfügen kann ( Art. 7 lit. c Satz 1 AHVV ). Als Arbeitnehmeraktien gelten nach der Rechtsprechung auch Aktien einer mit der Arbeitgeberin nicht identischen, aber wirtschaftlich mit ihr verbundenen Firma, sofern nur die Arbeitnehmer diese Aktien zu einem Vorzugspreis erwerben können ( BGE 102 V 152 E. 2 S. 154).</w:t>
      </w:r>
    </w:p>
    <w:p>
      <w:r>
        <w:rPr>
          <w:b/>
        </w:rPr>
        <w:t>E. 2.2</w:t>
      </w:r>
    </w:p>
    <w:p>
      <w:r>
        <w:t>Wie die Vorinstanz richtig dargelegt hat, besteht für die Ausgleichskassen bei der Beurteilung der Frage, ob ein Einkommensbestandteil massgebenden Lohn darstellt oder nicht, keine Bindung an die steuerrechtliche Betrachtungsweise. Allerdings sollen sie nicht ohne sachlichen Grund von der Auffassung der Steuerbehörde abweichen ( BGE 133 V 346 E. 4 S. 347).</w:t>
      </w:r>
    </w:p>
    <w:p>
      <w:r>
        <w:rPr>
          <w:b/>
        </w:rPr>
        <w:t>E. 3</w:t>
      </w:r>
    </w:p>
    <w:p>
      <w:r>
        <w:t>Im vorliegenden Fall qualifizierte das kantonale Steueramt den mit dem Verkauf der Aktien der Y.________ AG erzielten Gewinn zunächst mit eingehender Begründung als massgebenden Lohn, meldete dann aber nachträglich ohne jede Begründung Einkommen aus selbstständiger Erwerbstätigkeit. Der Einspracheentscheid der Ausgleichskasse wiederum befasste sich hauptsächlich mit der Frage, ob überhaupt Erwerbseinkommen vorliege oder allenfalls von Vermögensertrag auszugehen sei, nicht aber mit der Qualifikation des Einkommens als solches aus selbstständiger oder unselbstständiger Erwerbstätigkeit. Ob die Ausgleichskasse sich an die ursprüngliche, einlässlich begründete Qualifikation des Einkommens durch das kantonale Steueramt hätte halten müssen, wie die Vorinstanz ausführt, ist nicht entscheidend, da jedenfalls das kantonale Gericht auch eine selbstständige Beurteilung vorgenommen hat.</w:t>
      </w:r>
    </w:p>
    <w:p>
      <w:r>
        <w:rPr>
          <w:b/>
        </w:rPr>
        <w:t>E. 4.1</w:t>
      </w:r>
    </w:p>
    <w:p>
      <w:r>
        <w:t>Bei den Aktien der Y.________ AG handelte es sich nicht um Mitarbeiteraktien im herkömmlichen Sinn, da der Beschwerdegegner diese aus eigenen Mitteln käuflich erworben hat. Indessen hat die Vorinstanz für das Bundesgericht sachverhaltlich verbindlich festgestellt, dass die Beteiligung an der Y.________ AG ein Arbeitsverhältnis mit der Unternehmung X.________ voraussetzte und Mitgliedern der Konzernleitung vorbehalten war. Der Zweck bestand in der Beteiligung der Konzernleitungsmitglieder am Anlageerfolg der Unternehmung X.________; die Angehörigen des obersten Kaders des Konzerns konnten die Aktien von ihrer Arbeitgeberin erwerben und hatten ein Verkaufsrecht, das es ihnen erlaubte, die Aktien der Y.________ AG zum gestiegenen Wert wieder an die Unternehmung X.________ zu veräussern, was der Beschwerdegegner denn auch getan hat. Auch in zeitlicher Hinsicht war die Beteiligung an das Bestehen eines Arbeitsverhältnisses gebunden. Ohne Anstellungsverhältnis mit der Unternehmung X.________ wäre es den Konzernleitungsmitgliedern nicht möglich gewesen, Kapitalgewinne im gegebenen Ausmass zu erzielen. Gestützt auf diese tatbeständlichen Grundlagen ist die Folgerung der Vorinstanz, das Einkommen stehe in einem engen Zusammenhang mit dem Arbeitsverhältnis, richtig. Dass vom Kursgewinn der Aktien der Y.________ AG die Arbeitnehmer profitierten, spricht entgegen den Vorbringen in der Beschwerde nicht gegen, sondern vielmehr für diese Betrachtungsweise: Es ist gerade der Zweck von Arbeitnehmeraktien und ähnlichen Instrumenten, dass daraus ein Vorteil zu Gunsten der Arbeitnehmer resultiert. Auch der Umstand, dass die Arbeitnehmer als Mitglieder der Konzernleitung durch ihre eigenen Entscheide den Wert der Mitarbeiteraktien optimieren konnten, ändert nichts daran, dass sie den Veräusserungsgewinn nur wegen ihrer Eigenschaft als Arbeitnehmer der Unternehmung X.________ erzielen konnten.</w:t>
      </w:r>
    </w:p>
    <w:p>
      <w:r>
        <w:rPr>
          <w:b/>
        </w:rPr>
        <w:t>E. 4.2</w:t>
      </w:r>
    </w:p>
    <w:p>
      <w:r>
        <w:t>Demgegenüber vermag die von der Ausgleichskasse vertretene Ansicht, Kauf und Verkauf der Aktien der Y.________ AG seien Ausdruck gewerbsmässigen Wertschriftenhandels und der Erlös bilde Einkommen aus selbstständiger Erwerbstätigkeit, nicht zu überzeugen. Gegen das Vorliegen selbstständiger Erwerbstätigkeit spricht nebst den vorstehend dargelegten Argumenten insbesondere die Tatsache, dass der Beschwerdegegner kein Unternehmerrisiko nach Art eines selbstständig Erwerbenden zu tragen hatte. Denn nach den Feststellungen der Vorinstanz trug auf Grund des den Konzernleitungsmitgliedern eingeräumten Verkaufsrechts und der weiteren Ausgestaltung der vertraglichen Beziehungen letztlich die Unternehmung X.________ als Arbeitgeberin und nicht der Beschwerdegegner das Risiko fallender Aktienkurse.</w:t>
      </w:r>
    </w:p>
    <w:p>
      <w:r>
        <w:rPr>
          <w:b/>
        </w:rPr>
        <w:t>E. 5</w:t>
      </w:r>
    </w:p>
    <w:p>
      <w:r>
        <w:t>Dem Verfahrensausgang entsprechend sind die Gerichtskosten der unterliegenden Ausgleichskasse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