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9C_280/2016 vom 8. August 2016</w:t>
      </w:r>
    </w:p>
    <w:p>
      <w:r>
        <w:t>Bundesgericht, 2016-08-08, DE</w:t>
      </w:r>
    </w:p>
    <w:p>
      <w:r>
        <w:rPr>
          <w:b/>
        </w:rPr>
        <w:t xml:space="preserve">Quelle: </w:t>
      </w:r>
      <w:r>
        <w:t>https://mcp.opencaselaw.ch/entscheid/bger_9C_280_2016</w:t>
      </w:r>
    </w:p>
    <w:p>
      <w:r>
        <w:t>FR: TF 9C_280/2016 du 8 août 2016</w:t>
      </w:r>
    </w:p>
    <w:p>
      <w:r>
        <w:t>IT: TF 9C_280/2016 del 8 agosto 2016</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Nach ständiger Rechtsprechung ( BGE 105 V 139 E. 1b S. 141 und seitherige Urteile) kann ein Versicherter nicht erwerbsunfähig ( Art. 7 ATSG ) und mithin nicht invalid im Sinne von Art. 8 Abs. 1 ATSG sein, wenn er nicht aus gesundheitlichen Gründen mindestens teilweise arbeitsunfähig ist ( Art. 6 ATSG ).</w:t>
      </w:r>
    </w:p>
    <w:p>
      <w:r>
        <w:rPr>
          <w:b/>
        </w:rPr>
        <w:t>E. 3</w:t>
      </w:r>
    </w:p>
    <w:p>
      <w:r>
        <w:t>Das kantonale Gericht gelangte - wobei es die hievor (E. 1) angeführte Kognitionsregelung zu beachten gilt - insbesondere gestützt auf die Gutachten der Psychiatrischen Klinik B.________ vom 20. Mai 2005 und der Abklärungsstelle C.________ vom 4. November 2014 zum zutreffenden Schluss, dass der Beschwerdeführer trotz seiner Persönlichkeitsstörung (in jedwelcher körperlich leichten bis mittelschweren, geistig einfachen Tätigkeit) vollständig arbeits- und erwerbsfähig ist und aus überwiegend invaliditätsfremden Gründen bisher keine berufliche Ausbildung absolvierte. Ein Leistungsanspruch gegenüber der Invalidenversicherung fällt demnach - ohne dass Weiterungen ins Auge zu fassen wären - ausser Betracht.</w:t>
      </w:r>
    </w:p>
    <w:p>
      <w:r>
        <w:t>Sämtliche in der Beschwerde erhobenen Einwendungen vermögen an dieser Betrachtungsweise nichts zu ändern. Dem Gutachten der Psychiatrischen Klinik B.________ ist zu entnehmen, dass der Beschwerdeführer mit seinem "Lebensstil" und der Teilzeitarbeit als Ton- und Lichttechniker bei einem kleinen Theater zufrieden und trotz eines Lohnes unter dem Existenzminimum nicht bereit war, in eine Tätigkeit zu wechseln, die ein höheres geregeltes Einkommen versprach und gleichzeitig eine geregelte Arbeitszeit (von täglich acht Stunden) bedingt hätte. Entgegen den letztinstanzlichen Vorbringen werden diese selbst gewählte Beschränkung und der Verzicht auf eine berufliche Ausbildung in keinem der beiden Gutachten auf eine gesundheitliche Beeinträchtigung zurückgeführt. Auch die vom Beschwerdeführer geltend gemachten "häufigen Ausfalltage aus psychischen und physischen Gründen", die vorgebrachte eingeschränkte Leistungsfähigkeit "selbst im geschützten Rahmen" sowie angeblich relevante Beeinträchtigungen zufolge zu geringer Intelligenz finden in den genannten Expertisen keinerlei Stütze.</w:t>
      </w:r>
    </w:p>
    <w:p>
      <w:r>
        <w:rPr>
          <w:b/>
        </w:rPr>
        <w:t>E. 4</w:t>
      </w:r>
    </w:p>
    <w:p>
      <w:r>
        <w:t>Die im Sinne von Art. 109 Abs. 2 lit. a BGG offensichtlich unbegründete Beschwerde ist im vereinfachten Verfahren abzuweisen.</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