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9C_27/2020 vom 27. Februar 2020</w:t>
      </w:r>
    </w:p>
    <w:p>
      <w:r>
        <w:t>Bundesgericht, 2020-02-27, DE</w:t>
      </w:r>
    </w:p>
    <w:p>
      <w:r>
        <w:rPr>
          <w:b/>
        </w:rPr>
        <w:t xml:space="preserve">Quelle: </w:t>
      </w:r>
      <w:r>
        <w:t>https://mcp.opencaselaw.ch/entscheid/bger_9C_27_2020</w:t>
      </w:r>
    </w:p>
    <w:p>
      <w:r>
        <w:t>FR: TF 9C_27/2020 du 27 février 2020</w:t>
      </w:r>
    </w:p>
    <w:p>
      <w:r>
        <w:t>IT: TF 9C_27/2020 del 27 febbraio 2020</w:t>
      </w:r>
    </w:p>
    <w:p>
      <w:pPr>
        <w:pStyle w:val="Heading2"/>
      </w:pPr>
      <w:r>
        <w:t>Volltext</w:t>
      </w:r>
    </w:p>
    <w:p>
      <w:r>
        <w:t>Bundesgericht</w:t>
      </w:r>
    </w:p>
    <w:p>
      <w:r>
        <w:t>Tribunal fédéral</w:t>
      </w:r>
    </w:p>
    <w:p>
      <w:r>
        <w:t>Tribunale federale</w:t>
      </w:r>
    </w:p>
    <w:p>
      <w:r>
        <w:t>Tribunal federal</w:t>
      </w:r>
    </w:p>
    <w:p>
      <w:r>
        <w:t>9C_27/2020</w:t>
      </w:r>
    </w:p>
    <w:p>
      <w:r>
        <w:t>Urteil vom 27. Februar 2020</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CONCORDIA Versicherungen AG,</w:t>
      </w:r>
    </w:p>
    <w:p>
      <w:r>
        <w:t>Bundesplatz 15, 6002 Luzern,</w:t>
      </w:r>
    </w:p>
    <w:p>
      <w:r>
        <w:t>Beschwerdegegnerin.</w:t>
      </w:r>
    </w:p>
    <w:p>
      <w:r>
        <w:t>Gegenstand</w:t>
      </w:r>
    </w:p>
    <w:p>
      <w:r>
        <w:t>Krankenversicherung,</w:t>
      </w:r>
    </w:p>
    <w:p>
      <w:r>
        <w:t>Beschwerde gegen den Entscheid des Verwaltungsgerichts des Kantons Graubünden</w:t>
      </w:r>
    </w:p>
    <w:p>
      <w:r>
        <w:t>vom 20. Dezember 2019 (S 19 79).</w:t>
      </w:r>
    </w:p>
    <w:p>
      <w:r>
        <w:t>Nach Einsicht</w:t>
      </w:r>
    </w:p>
    <w:p>
      <w:r>
        <w:t>in die Beschwerde vom 13. Januar 2020 (Poststempel) gegen den Entscheid des Verwaltungsgerichts des Kantons Graubünden vom 20. Dezember 2019,</w:t>
      </w:r>
    </w:p>
    <w:p>
      <w:r>
        <w:t>in die Verfügung des Bundesgerichts vom 15. Januar 2020, mit der A.________ einerseits aufgefordert wurde, bis am 7. Februar 2020 den vollständigen angefochtenen Entscheid beizubringen, ansonsten seine Rechtsschrift unbeachtet bleibe, und andererseits darauf hingewiesen wurde, dass die Beschwerde die gesetzlichen Formerfordernisse hinsichtlich Antrag und Begründung nicht zu erfüllen scheine und eine Verbesserung nur innert der Beschwerdefrist möglich sei,</w:t>
      </w:r>
    </w:p>
    <w:p>
      <w:r>
        <w:t>in die Eingabe des A.________ vom 28. Januar 2020,</w:t>
      </w:r>
    </w:p>
    <w:p>
      <w:r>
        <w:t>in Erwägung,</w:t>
      </w:r>
    </w:p>
    <w:p>
      <w:r>
        <w:t>dass der Beschwerdeführer den ihm vom Gericht gemäss Art. 42 Abs. 5 BGG angezeigten Formmangel des nur unvollständig beigelegten vorinstanzlichen Entscheides nicht innerhalb der mit Verfügung vom 15. Januar 2020 angesetzten Nachfrist behoben hat,</w:t>
      </w:r>
    </w:p>
    <w:p>
      <w:r>
        <w:t>dass selbst bei erfolgter Einreichung des vollständigen vorinstanzlichen Entscheides auf die Beschwerde nicht einzutreten wäre, hat doch ein Rechtsmittel gemäss Art. 42 Abs. 1 und 2 BGG unter anderem die Begehren und deren Begründung zu enthalten, wobei in der Begründung in gedrängter Form - unter Bezugnahme auf und in Auseinandersetzung mit den entscheidenden vorinstanzlichen Erwägungen ( BGE 138 I 171 E. 1.4 S. 176) - darzulegen ist, inwiefern der angefochtene Akt Recht verletzt,</w:t>
      </w:r>
    </w:p>
    <w:p>
      <w:r>
        <w:t>dass die Eingaben des Beschwerdeführers diesen inhaltlichen Mindestanforderungen offensichtlich nicht genügen,</w:t>
      </w:r>
    </w:p>
    <w:p>
      <w:r>
        <w:t>dass deshalb im vereinfachten Verfahren nach Art. 108 Abs. 1 lit. a und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27. Februar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