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27/2017 vom 8. August 2017</w:t>
      </w:r>
    </w:p>
    <w:p>
      <w:r>
        <w:t>Bundesgericht, 2017-08-08, DE</w:t>
      </w:r>
    </w:p>
    <w:p>
      <w:r>
        <w:rPr>
          <w:b/>
        </w:rPr>
        <w:t xml:space="preserve">Quelle: </w:t>
      </w:r>
      <w:r>
        <w:t>https://mcp.opencaselaw.ch/entscheid/bger_9C_27_2017</w:t>
      </w:r>
    </w:p>
    <w:p>
      <w:r>
        <w:t>FR: TF 9C 27/2017 du 8 août 2017</w:t>
      </w:r>
    </w:p>
    <w:p>
      <w:r>
        <w:t>IT: TF 9C 27/2017 del 8 agosto 2017</w:t>
      </w:r>
    </w:p>
    <w:p>
      <w:pPr>
        <w:pStyle w:val="Heading2"/>
      </w:pPr>
      <w:r>
        <w:t>Regeste</w:t>
      </w:r>
    </w:p>
    <w:p>
      <w:r>
        <w:t>Alters- und Hinterlassenenversicherung | Alters- und Hinterlassenenversicherung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9C_275/2016 vom 19. August 2016 E. 1.2 mit Hinweisen).</w:t>
      </w:r>
    </w:p>
    <w:p>
      <w:r>
        <w:rPr>
          <w:b/>
        </w:rPr>
        <w:t>E. 2</w:t>
      </w:r>
    </w:p>
    <w:p>
      <w:r>
        <w:t>Nach Art. 52 AHVG , welcher sinngemäss auch im Bereich der Invalidenversicherung ( Art. 66 IVG ), der Erwerbsersatzordnung ( Art. 21 Abs. 2 EOG , SR 834.1), der Arbeitslosenversicherung ( Art. 6 AVIG , SR 837.0) und der Familienzulagen (Art. 25 lit. c des Bundesgesetzes vom 24. März 2006 über die Familienzulagen [Familienzulagengesetz, FamZG; SR 836.2])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Mehrere nach Art. 52 AHVG Schadenersatzpflichtige haften solidarisch ( Art. 52 Abs. 2 AHVG ; BGE 134 V 306 E. 3.1 S. 308 f.).</w:t>
      </w:r>
    </w:p>
    <w:p>
      <w:r>
        <w:rPr>
          <w:b/>
        </w:rPr>
        <w:t>E. 3</w:t>
      </w:r>
    </w:p>
    <w:p>
      <w:r>
        <w:t>Das kantonale Gericht hat den Schaden für die entgangenen, von der Z.________ AG für die Zeit vom 1. November 2012 bis zum 30. April 2013 geschuldeten Sozialversicherungsbeiträge (samt Verwaltungskosten, Verzugszinsen sowie Mahn- und Betreibungskosten) auf Fr. 53'454.10 festgelegt. Weiter hat es eine Verletzung der Beitragszahlungspflicht ( Art. 14 Abs. 1 AHVG ; Art. 34 ff. AHVV [SR 831.101]) durch die Arbeitgeberin und damit eine Widerrechtlichkeit bejaht. Dem Beschwerdeführer hat es eine Stellung als faktisches Organ der Arbeitgeberin zugeschrieben und sein Verhalten ebenfalls als widerrechtlich erachtet. Sodann hat es die Freistellung des Beschwerdeführers ab 8. April 2013 berücksichtigt und ein Verschulden (in Form eventualvorsätzlichen Handelns) nur soweit bejaht, als es um die Beitragspflicht bis Ende Februar 2013 geht. Schliesslich hat es einen (adäquaten) Kausalzusammenhang zwischen dem Schaden und der Widerrechtlichkeit angenommen. Folglich hat es die Schadenersatzpflicht des Beschwerdeführers auf Fr. 40'302.75 herabgesetzt. Der Beschwerdeführer bestreitet einerseits seine Stellung als faktisches Organ der Arbeitgeberin und anderseits den adäquaten Kausalzusammenhang zwischen seinem Verhalten und dem Schaden.</w:t>
      </w:r>
    </w:p>
    <w:p>
      <w:r>
        <w:rPr>
          <w:b/>
        </w:rPr>
        <w:t>E. 4.1</w:t>
      </w:r>
    </w:p>
    <w:p>
      <w:r>
        <w:t>Bei einer Aktiengesellschaft sind alle Mitglieder des Verwaltungsrates unabhängig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Dabei reicht die Schadenersatzpflicht grundsätzlich nur soweit, als die betreffende Person in Bezug auf die nichtbezahlten Beiträge disponieren und Zahlungen an die Ausgleichskasse veranlassen konnte (SVR 2015 AHV Nr. 8 S. 27, 9C_920/2014 E. 2.2.1; 2012 AHV Nr. 4 S. 14, 9C_317/2011 E. 4.1.1).</w:t>
      </w:r>
    </w:p>
    <w:p>
      <w:r>
        <w:rPr>
          <w:b/>
        </w:rPr>
        <w:t>E. 4.2</w:t>
      </w:r>
    </w:p>
    <w:p>
      <w:r>
        <w:t>Ob einer Person Organstellung im dargelegten Sinne zukommt, ist eine Tatfrage (vgl. E. 1), soweit es um die Würdigung konkreter Umstände geht (SVR 2012 BVG Nr. 11 S. 44; Urteil 9C_535/2008 vom 3. Dezember 2008 E. 2).</w:t>
      </w:r>
    </w:p>
    <w:p>
      <w:r>
        <w:rPr>
          <w:b/>
        </w:rPr>
        <w:t>E. 4.3</w:t>
      </w:r>
    </w:p>
    <w:p>
      <w:r>
        <w:t>Die Vorinstanz hat festgestellt, der Aufgabenbereich und die Kompetenzen des Beschwerdeführers seien im Vergleich zum Arbeitsvertrag vom 28. August 2006 ausgeweitet worden. Er sei neben dem Verwaltungsratspräsidenten als einzige Person mit Einzelprokura im Handelsregister eingetragen worden. Er habe nicht nur Zahlungsbefehle entgegengenommen, sondern sei als einziger Vertreter der Arbeitgeberin bei Pfändungsvollzügen anwesend und Ansprechperson des Betreibungsamtes für den Aufschub der Verwertung und die Leistung von Abschlagszahlungen gewesen. Der Beizug von W.________ (Berater für Strategieentwicklung und Unternehmensführung) zeige, für wie grundlegend die Arbeitgeberin die Regelung der Ausstände und allfälliger Zahlungsaufschübe erachtet habe. Das Betreibungsamt habe weiterhin den Beschwerdeführer und nicht etwa W.________ als Vertreter der Arbeitgeberin wahrgenommen. Er sei gegenüber Dritten und der Beschwerdegegnerin als Geschäftsführer aufgetreten. Die Ausweitung der Aufgaben und Kompetenzen habe sich auch in seinem Einkommen widerspiegelt. Dieses habe sich zwischen 2006 und 2013 um mindestens 55 % auf einen Jahreslohn von Fr. 120'030.- resp. Fr. 112'840.- erhöht, wodurch er der bestverdienende Mitarbeiter der Arbeitgeberin geworden sei. Auf dieser Grundlage hat das kantonale Gericht den Schluss gezogen, dass der Beschwerdeführer faktisches Organ der Arbeitgeberin gewesen sei.</w:t>
      </w:r>
    </w:p>
    <w:p>
      <w:r>
        <w:rPr>
          <w:b/>
        </w:rPr>
        <w:t>E. 4.4</w:t>
      </w:r>
    </w:p>
    <w:p>
      <w:r>
        <w:t>Was der Beschwerdeführer dagegen vorbringt, hält nicht stand. Das kantonale Gericht hat eine Gesamtwürdigung verschiedener Aspekte vorgenommen, und trotz fehlender schriftlicher Vereinbarung mit der Arbeitgeberin den Beschwerdeführer als deren (faktischer) Geschäftsführer betrachtet. Von lediglich punktuellen Tätigkeiten und untergeordneten Alltagsgeschäften (vgl. BGE 128 III 29 E. 3c S. 33) kann im Zusammenhang mit den konkret interessierenden Sozialversicherungsbeiträgen und den entsprechenden Zwangsvollstreckungsverfahren nicht die Rede sein. Aus der Bevollmächtigung des W.________, für die Arbeitgeberin mit der Ausgleichskasse "einen Abzahlungsplan für die zurzeit offenen Forderungen zu unterbreiten und auszuhandeln", ergibt sich nichts für den Beschwerdeführer. Entgegen dessen Behauptung lässt sich daraus nicht ableiten, dass ihm eine allfällige Dispositionsbefugnis entzogen wurde resp. die Verantwortung "im Beitragswesen" einzig dem Berater oblag. Einerseits umfasst die Vollmacht nicht das gesamte Beitragswesen, insbesondere nicht die Beitragszahlungen an sich. Anderseits schliesst der Beizug eines (bevollmächtigten) Beraters die faktische Organstellung des Beschwerdeführers nicht aus, ist doch die Instruktion des Beraters von entscheidender Bedeutung. Im Übrigen verlangte die Arbeitgeberin nie, dass die Ausgleichskasse ihre Mitteilungen nur noch an den Berater richten soll (vgl. Art. 37 Abs. 3 ATSG ). Inwiefern sich aus den Vermerken der Ausgleichskasse auf dem vom Beschwerdeführer unterzeichneten Schreiben vom 12. Juli 2012 eine fehlende Entscheidbefugnis ergeben soll, ist nicht nachvollziehbar. Ob sich der Beschwerdeführer explizit als Geschäftsführer ausgegeben hat, ist nicht ausschlaggebend. Wesentlich ist vielmehr, dass er aufgrund seines Auftretens und seiner Handlungen (vgl. dazu auch das Schreiben des Betreibungsamtes vom 8. Februar 2013) sowohl vom Betreibungsamt als auch von der Ausgleichskasse als solcher wahrgenommen wurde. Die entsprechende vorinstanzliche Feststellung stützt sich denn auch nicht lediglich auf zwei Zahlungsbefehle, auf denen er als "GF" bezeichnet wurde, während 39 weitere Zahlungsbefehle den Vermerk "Einzelprokura" tragen. Schliesslich leuchtet nicht ein, weshalb die Lohnentwicklung nicht als (weiteres) Indiz für eine gesteigerte Entscheidverantwortung betrachtet werden dürfte. Ohnehin beschränkt sich der Beschwerdeführer auf weiten Strecken darauf, lediglich die Unterlagen abweichend von der Vorinstanz zu würdigen und daraus andere Schlüsse zu ziehen, was nicht genügt (Urteile 9C_794/2012 vom 4. März 2013 E. 4.1; 9C_65/2012 vom 28. Februar 2012 E. 4.3 mit Hinweisen).</w:t>
      </w:r>
    </w:p>
    <w:p>
      <w:r>
        <w:rPr>
          <w:b/>
        </w:rPr>
        <w:t>E. 4.5</w:t>
      </w:r>
    </w:p>
    <w:p>
      <w:r>
        <w:t>Nach dem Gesagten sind die vorinstanzlichen Feststellungen betreffend die Stellung des Beschwerdeführers als faktisches Organ der Arbeitgeberin (E. 4.3) nicht offensichtlich unrichtig (E. 1.2). Sie beruhen auch nicht auf einer Rechtsverletzung, weshalb sie für das Bundesgericht verbindlich bleiben (E. 1.1).</w:t>
      </w:r>
    </w:p>
    <w:p>
      <w:r>
        <w:rPr>
          <w:b/>
        </w:rPr>
        <w:t>E. 4.6</w:t>
      </w:r>
    </w:p>
    <w:p>
      <w:r>
        <w:t>Eine Haftung im Sinne von Art. 52 AHVG setzt u.a. voraus, dass zwischen der absichtlichen oder grobfahrlässigen Verletzung von Vorschriften und dem Eintritt des Schadens ein adäquater Kausalzusammenhang besteht ( BGE 119 V 401 E. 4a S. 406 mit Hinweisen). Daran fehlt es, wenn auch ein pflichtgemässes Verhalten den Schaden nicht hätte verhindern können. Das schuldhafte Verhalten eines solidarisch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(Urteile 9C_328/2012 vom 11. Dezember 2012 E. 2.2; 9C_135/2011 vom 11. April 2011 E. 4.3.1 mit weiteren Verweisen). Die Unterbrechung des adäquaten Kausalzusammenhangs fällt insbesondere in Betracht, wenn ein Verwaltungsrat durch strafrechtlich relevante Machenschaften eines anderen Organs der Gesellschaft über die Ausstände gegenüber der Ausgleichskasse hinters Licht geführt und dadurch an der Wahrnehmung seiner Pflichten gehindert wurde. 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(Urteile 9C_328/2012 vom 11. Dezember 2012 E. 2.3; 9C_135/2011 vom 11. April 2011 E. 4.3.2, je mit weiteren Verweisen).</w:t>
      </w:r>
    </w:p>
    <w:p>
      <w:r>
        <w:rPr>
          <w:b/>
        </w:rPr>
        <w:t>E. 4.7</w:t>
      </w:r>
    </w:p>
    <w:p>
      <w:r>
        <w:t>Die Vorinstanz hat erwogen, dass durch pflichtgemässes Verhalten des Beschwerdeführers - Bezahlen der Sozialversicherungsbeiträge - der (im reduzierten Umfang von Fr. 40'302.75 berücksichtigte) Schaden hätte verhindert werden können. Dies stellt der Beschwerdeführer zu Recht nicht in Abrede. Vielmehr erblickt er eine Unterbrechung des Kausalzusammenhangs darin, dass die Arbeitgeberin nach seinem Ausscheiden die ausstehenden Beträge nicht beglichen habe, obwohl sie (nach seiner Auffassung) genügend Mittel dafür gehabt hätte. Selbst wenn Letzteres zuträfe, würde dies keinen die Adäquanz unterbrechenden Sachverhalt darstellen (E. 4.6). Im Übrigen liegt es in der Natur der Sache, dass der Schaden erst nach der Pflichtwidrigkeit (Unterlassen der Beitragszahlungen) mit dem Konkurs der Arbeitgeberin eingetreten ist. Auch in diesem Punkt ist die Beschwerde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