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9C_27/2013 vom 22. August 2013</w:t>
      </w:r>
    </w:p>
    <w:p>
      <w:r>
        <w:t>Bundesgericht, 2013-08-22, DE</w:t>
      </w:r>
    </w:p>
    <w:p>
      <w:r>
        <w:rPr>
          <w:b/>
        </w:rPr>
        <w:t xml:space="preserve">Quelle: </w:t>
      </w:r>
      <w:r>
        <w:t>https://mcp.opencaselaw.ch/entscheid/bger_9C_27_2013</w:t>
      </w:r>
    </w:p>
    <w:p>
      <w:r>
        <w:t>FR: TF 9C_27/2013 du 22 août 2013</w:t>
      </w:r>
    </w:p>
    <w:p>
      <w:r>
        <w:t>IT: TF 9C_27/2013 del 22 agosto 2013</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der Beschwerdeführerin erfüllt, wenn sie dadurch gezwungen wird, eine ihres Erachtens rechtswidrige neue Verfügung zu erlassen ( BGE 133 V 477 E. 5.2 S. 483). Dies ist hier der Fall. Wie sich bereits aus dem vorinstanzlichen Verfahren ergibt, hat die Beschwerdegegnerin bei Weiteranwendung des Sozialversicherungsabkommens grundsätzlich Anspruch auf eine Witwenrente und Waisenrenten, zu dessen Anfechtung die SAK mangels formeller Beschwer nicht mehr befugt wäre ( BGE 133 V 477 E. 5.2.4 S. 484 f.). Auf die Beschwerde ist somit einzutreten.</w:t>
      </w:r>
    </w:p>
    <w:p>
      <w:r>
        <w:rPr>
          <w:b/>
        </w:rPr>
        <w:t>E. 2</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3</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4</w:t>
      </w:r>
    </w:p>
    <w:p>
      <w:r>
        <w:t>Wie das Bundesgericht in BGE 139 V 263 entschieden hat, ist das Abkommen vom 8. Juni 1962 zwischen der Schweizerischen Eidgenossenschaft und der ehemaligen (Sozialistischen) Föderativen Volksrepublik Jugoslawien über Sozialversicherung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rPr>
          <w:b/>
        </w:rPr>
        <w:t>E. 5</w:t>
      </w:r>
    </w:p>
    <w:p>
      <w:r>
        <w:t>Die bundesgerichtliche Rechtsprechung lässt sich ohne weiteres auf den hier zu beurteilenden Fall übertragen: Die Beschwerdegegnerin hat in ihrer Anmeldung für eine Hinterlassenenrente auf die Frage nach den "Staatsangehörigkeit (en) " sowohl in Bezug auf sich selber als auch hinsichtlich des verstorbenen Ehemannes ausschliesslich "Kosovo" angegeben. Eine Doppelbürgerschaft wird - auch betreffend die Kinder - weder behauptet noch ist eine solche aus den Akten ersichtlich.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verneint ( BGE 139 V 263 E. 12.2 S. 285).</w:t>
      </w:r>
    </w:p>
    <w:p>
      <w:r>
        <w:t>Was die zeitliche Geltung des Sozialversicherungsabkommens im Verhältnis zu Kosovo bis zum 31. März 2010 betrifft, so hielt das BSV in seinen Mitteilungen an die AHV-Ausgleichskassen und EL-Durchführungsstellen Nr. 265 vom 28. Januar 2010 fest, dass es auf bestehenden AHV-Leistungen einen Besitzstand gebe, während für die Zusprache von neuen AHV-Leistungen die Rechtsgrundlagen wie für Angehörige von Staaten, mit welchen die Schweiz kein Sozialversicherungsabkommen hat, gelten würden. Massgebend für die Zusprache einer Hinterlassenenrente sei der Eintritt des Versicherungsfalles, das heisst vorliegend der Zeitpunkt des Todesfalls. Das Bundesgericht hat diese Handhabung, die mit dem auf den 1. Januar 2012 eingeführten Art. 18 Abs. 2</w:t>
      </w:r>
    </w:p>
    <w:p>
      <w:r>
        <w:t>bis AHVG (vgl. E. 3) eine definitive Klärung erfahren hat, mit Urteil 9C_53/2013 vom 6. August 2013 E. 3.3 bestätigt.</w:t>
      </w:r>
    </w:p>
    <w:p>
      <w:r>
        <w:t>Demnach verfügt die Beschwerdegegnerin über keinen Anspruch auf eine Hinterlassenenrente. Die Rückvergütung der Beiträge bleibt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 Anzufügen bleibt die Möglichkeit, dass die Schweiz dereinst ein neues Sozialversicherungsabkommen mit Kosovo abschliesst.</w:t>
      </w:r>
    </w:p>
    <w:p>
      <w:r>
        <w:rPr>
          <w:b/>
        </w:rPr>
        <w:t>E. 6</w:t>
      </w:r>
    </w:p>
    <w:p>
      <w:r>
        <w:t>Bei dieser Sach- und Rechtslage erweist sich die Beschwerde der SAK als begründet. Entsprechend gehen die Gerichtskosten zu Lasten der Beschwerdegegnerin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