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279/2019 vom 1. Juli 2019</w:t>
      </w:r>
    </w:p>
    <w:p>
      <w:r>
        <w:t>Bundesgericht, 2019-07-01, DE</w:t>
      </w:r>
    </w:p>
    <w:p>
      <w:r>
        <w:rPr>
          <w:b/>
        </w:rPr>
        <w:t xml:space="preserve">Quelle: </w:t>
      </w:r>
      <w:r>
        <w:t>https://mcp.opencaselaw.ch/entscheid/bger_9C_279_2019</w:t>
      </w:r>
    </w:p>
    <w:p>
      <w:r>
        <w:t>FR: TF 9C 279/2019 du 1 juillet 2019</w:t>
      </w:r>
    </w:p>
    <w:p>
      <w:r>
        <w:t>IT: TF 9C 279/2019 del 1 luglio 2019</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Der Beschwerdebegründung ist sinngemäss im Wesentlichen zu entnehmen, dass die Beschwerdeführerin der Ansicht ist, es seien mit den Verfügungen vom 10. Mai 2012, 7., 8. und 14. Juni 2012 zu hohe Zahlungen an die Gemeinde Aeugst am Albis im Rahmen der Verrechnung von Ergänzungsleistungen mit der Sozialhilfe erfolgt. Sie verweist auf den Entscheid des Verwaltungsgerichts vom 28. Januar 2016, mit welchem die Rückerstattungsforderung betreffend Sozialhilfe auf Fr. 2'258.50 herabgesetzt worden sei. Sie wirft der Vorinstanz vor, diese habe ihre diesbezüglichen Vorbringen nicht entgegengenommen und das rechtliche Gehör verletzt.</w:t>
      </w:r>
    </w:p>
    <w:p>
      <w:r>
        <w:rPr>
          <w:b/>
        </w:rPr>
        <w:t>E. 2.1</w:t>
      </w:r>
    </w:p>
    <w:p>
      <w:r>
        <w:t>Der Anspruch auf rechtliches Gehör nach Art. 29 Abs. 2 BV gebietet, dass die Behörde die Vorbringen der betroffenen Person tatsächlich hört, prüft und in der Entscheidfindung angemessen berücksichtigt ( BGE 136 I 184 E. 2.2.1 S. 188). Daraus folgt die Verpflichtung der Behörde, ihren Entscheid zu begründen ( Art. 61 lit. h ATSG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 232 E. 5.1 S. 237). Der Anspruch auf rechtliches Gehör ist formeller Natur. Seine Verletzung führt ungeachtet der materiellen Begründetheit des Rechtsmittels zur Gutheissung der Beschwerde und zur Aufhebung des angefochtenen Entscheids ( BGE 144 I 11 E. 5.3 S. 17 mit Hinweis auf BGE 137 I 195 E. 2.2 S. 197). 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 BGE 142 II 218 E. 2.8.1 S. 226 f. ; 137 I 195 E. 2.3.2 S. 197 f. ; 135 I 279 E. 2.6.1 S. 285; je mit Hinweisen). Unter dieser Voraussetzung ist selbst bei einer schwerwiegenden Verletzung des Anspruchs auf rechtliches Gehör von einer Heilung des Mangels auszugehen, wenn die Rückweisung der Sache zu einem formalistischen Leerlauf und damit zu unnötigen Verzögerungen führen würde, die mit dem Interesse der betroffenen Partei an einer beförderlichen Beurteilung der Sache nicht zu vereinbaren wären ( BGE 142 II 218 E. 2.8.1 S. 226 f. ; 137 I 195 E. 2.3.2 S. 197 f.; je mit Hinweisen).</w:t>
      </w:r>
    </w:p>
    <w:p>
      <w:r>
        <w:rPr>
          <w:b/>
        </w:rPr>
        <w:t>E. 2.2</w:t>
      </w:r>
    </w:p>
    <w:p>
      <w:r>
        <w:t>Die Vorinstanz stellte zutreffend fest, dass erst mit dem rechtskräftigen Entscheid des Verwaltungsgerichts vom 28. Januar 2016 Gewissheit über Bestand und Höhe der Rückerstattungspflicht gegenüber der Sozialhilfebehörde erlangt werden konnte. Dies, so das kantonale Gericht weiter, "sei im März 2016" der Fall gewesen, weshalb "kein Raum" bleibe, die Ergänzungsleistungen vor März 2016 neu zu berechnen. Die Vorinstanz befasste sich jedoch nicht mit der Frage, ob angesichts der erheblichen Reduktion der Rückerstattungspflicht der Beschwerdeführerin gegenüber der Sozialhilfebehörde auf die EL-Verfügungen zurückzukommen ist. Dies, obwohl die Beschwerdeführerin die mit Einspracheentscheid der Beschwerdegegnerin vom 12. September 2017 bestätigte Zulässigkeit der vorgenommenen Drittauszahlungen im Hinblick auf den Verwaltungsgerichtsentscheid monierte und insbesondere darlegte, es sei zu viel abgerechnet worden. Der angefochtene Entscheid verletzt somit den Anspruch auf rechtliches Gehör, da ihm nicht entnommen werden kann, weshalb dieses Vorbringen der Beschwerdeführerin unbegründet ist. Da die Rüge einer Verletzung des Anspruchs auf rechtliches Gehör formeller Natur ist, führt das - wobei auf einen Schriftenwechsel verzichtet wird ( Art. 102 Abs. 1 BGG ; Urteil 9C_527/2018 vom 25. Januar 2019 E. 3.2) - zur Aufhebung des angefochtenen Entscheids und zur Rückweisung der Sache an die Vorinstanz, ohne dass die von der Beschwerdeführerin geltend gemachten materiell-rechtlichen Einwände zu prüfen wären. Das kantonale Gericht hat die Vorbringen der Beschwerdeführerin betreffend Drittauszahlung zu prüfen und neu zu entscheiden.</w:t>
      </w:r>
    </w:p>
    <w:p>
      <w:r>
        <w:rPr>
          <w:b/>
        </w:rPr>
        <w:t>E. 3</w:t>
      </w:r>
    </w:p>
    <w:p>
      <w:r>
        <w:t>Hinsichtlich der Prozesskosten gilt die Rückweisung der Sache zu neuem Entscheid praxisgemäss als volles Obsiegen (vgl. statt vieler: Urteil 9C_527/2018 vom 25. Januar 2019 E. 4.1 mit Hinweis auf BGE 137 V 210 E. 7.1 S. 271 mit Hinweisen), weshalb die unterliegende Beschwerdegegnerin die Verfahrenskosten trägt ( Art. 66 Abs. 1 Satz 1 BGG ). Damit ist das Gesuch der Beschwerdeführerin um unentgeltliche Rechtspflege im Sinne der Kostenbefreiung gegenstandslos. Die nicht anwaltlich vertretene Beschwerdeführerin hat keinen Anspruch auf Parteientschädigung, da die Interessenwahrung keinen Arbeitsaufwand verursacht hat, der den Rahmen dessen überschreitet, was die Einzelne üblicher- und zumutbarerweise zur Besorgung ihrer persönlichen Angelegenheiten auf sich zu nehmen hat ( BGE 129 V 113 E. 4.1 S. 116).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