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278/2016 vom 22. Juli 2016</w:t>
      </w:r>
    </w:p>
    <w:p>
      <w:r>
        <w:t>Bundesgericht, 2016-07-22, DE</w:t>
      </w:r>
    </w:p>
    <w:p>
      <w:r>
        <w:rPr>
          <w:b/>
        </w:rPr>
        <w:t xml:space="preserve">Quelle: </w:t>
      </w:r>
      <w:r>
        <w:t>https://mcp.opencaselaw.ch/entscheid/bger_9C_278_2016</w:t>
      </w:r>
    </w:p>
    <w:p>
      <w:r>
        <w:t>FR: TF 9C 278/2016 du 22 juillet 2016</w:t>
      </w:r>
    </w:p>
    <w:p>
      <w:r>
        <w:t>IT: TF 9C 278/2016 del 22 luglio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Die Vorinstanz hat dem Gerichts-Gutachten des Dr. med. D.________ vom 20. Mai 2015 Beweiskraft beigemessen und gestützt darauf festgestellt, dass der Versicherte von August 2004 bis Juni 2006 in der angestammten sowie in einer angepassten (d.h. leichten bis intermittierend mittelschweren) Tätigkeit zu 50 % und ab Juli 2006 vollständig arbeitsunfähig gewesen sei. Folglich hat sie ihm - bei einem Invaliditätsgrad von 50 % resp. 100 % - ab 1. August 2005 eine halbe resp. ab 1. Oktober 2006 eine ganze Invalidenrente zugesprochen. Weiter hat sie die IV-Stelle verpflichtet, die Kosten für das Gerichtsgutachten von Fr. 9'500.- zu übernehmen und dem Versicherten eine Parteientschädigung von Fr. 5'236.05 zu entrichten.</w:t>
      </w:r>
    </w:p>
    <w:p>
      <w:r>
        <w:rPr>
          <w:b/>
        </w:rPr>
        <w:t>E. 3.1</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 (Urteil 9C_172/2016 vom 27. Mai 2016 E. 3.1).</w:t>
      </w:r>
    </w:p>
    <w:p>
      <w:r>
        <w:rPr>
          <w:b/>
        </w:rPr>
        <w:t>E. 3.2.1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S. 353).</w:t>
      </w:r>
    </w:p>
    <w:p>
      <w:r>
        <w:rPr>
          <w:b/>
        </w:rPr>
        <w:t>E. 3.2.3</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3.4.1</w:t>
      </w:r>
    </w:p>
    <w:p>
      <w:r>
        <w:t>Die Vorinstanz hat die Notwendigkeit des gerichtlichen Gutachtens damit begründet, dass die Einschätzungen der Frau Dr. med. B.________ jenen des Dr. med. C.________ diametral widersprechen. Damit hat sie die beiden Administrativgutachten implizit als grundsätzlich schlüssig und beweiskräftig (vgl. E. 3.2.2), mithin als gleichrangig erachtet. Inwiefern diese Beweiswürdigung offensichtlich unrichtig (vgl. E. 1.2) sein soll, ist nicht ersichtlich und wird auch nicht substanziiert begründet.</w:t>
      </w:r>
    </w:p>
    <w:p>
      <w:r>
        <w:rPr>
          <w:b/>
        </w:rPr>
        <w:t>E. 3.4.2</w:t>
      </w:r>
    </w:p>
    <w:p>
      <w:r>
        <w:t>Die Beschwerdeführerin bringt vor, laut dem Regionalen Ärztlichen Dienst (RAD) habe Frau Dr. med. B.________ die Vorakten insgesamt und mit Blick auf die Differenzialdiagnose einer somatoformen Schmerzstörung zu wenig diskutiert, es hätten Angaben zu den Aspekten Aggravation, Selbstlimitierung und Symptomausweitung gefehlt und die Persönlichkeitszüge bzw. Verhaltensweisen des Versicherten würden nicht zu einer schweren Depression passen. Gemäss Dr. med. C.________ seien ihre Ausführungen teils unzulässig und kaum nachvollziehbar; die von ihr durchgeführte Testung eigne sich nicht zur versicherungsmedizinischen Beurteilung.</w:t>
      </w:r>
    </w:p>
    <w:p>
      <w:r>
        <w:rPr>
          <w:b/>
        </w:rPr>
        <w:t>E. 3.4.3</w:t>
      </w:r>
    </w:p>
    <w:p>
      <w:r>
        <w:t>Diese Einwendungen vermögen nicht, die (grundsätzliche) Beweiskraft des Gutachtens der Frau Dr. med. B.________ zu erschüttern (vgl. E. 3.2.2) : Nach sorgfältiger Darstellung der Krankheitsentwicklung und Zusammenfassung der relevanten medizinischen Unterlagen legte sie die von ihr erhobenen Befunde dar; sodann begründete sie nachvollziehbar, weshalb sie die Diagnose einer anhaltenden schweren agitiert-depressiven Episode ohne psychotische Symptome stellte und jene einer anhaltenden somatoformen Schmerzstörung verwarf. Dass sie dabei u.a. die Hamilton-Depressionsskala (eine klinische Fremdbeurteilungsskala) als Diagnosewerkzeug benutzte (vgl. Urteile 8C_914/2013 vom 27. Juni 2014 E. 3.3; 9C_65/2012 vom 28. Februar 2012 E. 4.3), schadet ebenso wenig wie der Umstand, dass sie - offensichtlich mangels festgestellter Diskrepanzen - keine Feststellungen betreffend Aggravation u.ä. traf. Schliesslich trägt die ärztliche Beurteilung von der Natur der Sache her unausweichlich Ermessenszüge, die es zu respektieren gilt ( BGE 137 V 210 E. 3.4.2.3 S. 253; Urteil 9C_397/2015 vom 6. August 2015 E. 5.3). Die hier interessierende vorinstanzliche Beweiswürdigung (E. 3.4.1) beruhte somit auch nicht auf einer Rechtsverletzung. Sie bleibt für das Bundesgericht verbindlich (E. 1.1). Folglich war - im Rahmen des Untersuchungsgrundsatzes ( Art. 61 lit. c ATSG ) - die Einholung der gerichtlichen Expertise (im Sinne eines Ober-Gutachtens) angezeigt. Von einem bereits umfassend abgeklärten Sachverhalt resp. einer unzulässigen "second opinion" (vgl. BGE 141 V 330 E. 5.2 S. 339) im Zusammenhang mit der Expertise des Dr. med. D.________ kann daher keine Rede sein.</w:t>
      </w:r>
    </w:p>
    <w:p>
      <w:r>
        <w:rPr>
          <w:b/>
        </w:rPr>
        <w:t>E. 3.5</w:t>
      </w:r>
    </w:p>
    <w:p>
      <w:r>
        <w:t>Die IV-Stelle bringt nicht vor, dass ihr bei diesem (Zwischen-) Ergebnis die Kosten des Gerichtsgutachtens nicht hätten überbunden werden dürfen; diesbezügliche Weiterungen erübrigen sich.</w:t>
      </w:r>
    </w:p>
    <w:p>
      <w:r>
        <w:rPr>
          <w:b/>
        </w:rPr>
        <w:t>E. 3.6.1</w:t>
      </w:r>
    </w:p>
    <w:p>
      <w:r>
        <w:t>Weiter bestreitet die Beschwerdeführerin die Beweiskraft des Gerichtsgutachtens. Sie macht geltend, die "Anzahl der (sozialen) Tätigkeiten" widerspreche den Diagnoseleitlinien des ICD-10 klar. Ein "derart hohes Aktivitätsniveau" sei im Rahmen einer mittelgradigen bis schweren Depression nicht nachvollziehbar. Damit ist nicht (substanziiert) dargetan, dass die vorinstanzliche Feststellung, bei den familiären Kontakten und den regelmässigen Besuchen des Clublokals eines Vereins handle es sich nicht um anspruchsvolle soziale Aktivitäten, die mit dem herabgesetzten Funktionsniveau einer mittelgradigen bis schweren depressiven Störung nicht vereinbar wären, offensichtlich unrichtig (E. 1.2) sein soll. Der Umstand, dass der Versicherte anstatt zur Begutachtung lieber anlässlich eines muslimischen Festtages zum Beten in die Moschee gegangen wäre, lässt nicht auf regelmässige Moscheebesuche schliessen. Auch dass er "alleine Auto fährt", ist kein triftiger Grund, an der Diagnose einer rezidivierenden depressiven Störung von mittelgradiger bis schwerer Ausprägung zu zweifeln (E. 3.2.3).</w:t>
      </w:r>
    </w:p>
    <w:p>
      <w:r>
        <w:rPr>
          <w:b/>
        </w:rPr>
        <w:t>E. 3.6.2</w:t>
      </w:r>
    </w:p>
    <w:p>
      <w:r>
        <w:t>Die Vorinstanz hat nicht offensichtlich unrichtig und daher verbindlich (E. 1) festgestellt, das impulsive Verhalten des Versicherten erreiche einen Schweregrad, welcher mit der Diagnose einer Persönlichkeitsstörung vereinbar sei. Zudem hat sie zutreffend (vgl. BGE 136 V 279 E. 3.2.1 S. 281 mit Hinweis; SVR 2014 IV Nr. 1 S. 1, 9C_228/2013 E. 4.1.4) darauf verwiesen, dass letztlich nicht die diagnostische Einordnung eines Gesundheitsschadens - als "impulsive Persönlichkeitsstörung" (Gutachten des Dr. med. D.________), "andauernde Persönlichkeitsänderung bei chronischem Schmerzsyndrom" (Bericht des Psychiatriezentrums E.________ vom 21. Dezember 2007 oder "agitierte Komponente im Rahmen einer schweren depressiven Störung" (Gutachten der Frau Dr. med. B.________; vgl. angefochtener Entscheid E. 3.4 S. 13) - entscheidend ist, sondern dessen konkrete Auswirkungen auf die Arbeits- und Leistungsfähigkeit. Ausserdem steht die Notwendigkeit einer zehnminütigen Pause während der Exploration durchaus im Zusammenhang mit der Persönlichkeitsproblematik: Der Versicherte war nach Darstellung des Gutachters infolge eines "impulsiven emotionalen Ausbruchs" "einen Moment lang nicht in der Lage, das Gespräch fortzusetzen", konnte sich aber in der Pause "ein wenig" beruhigen. Diese Unterbrechung war zudem nicht (allein) ausschlaggebend für die Einschätzung des Gerichtsexperten, was sich auch aus den diesbezüglichen Ausführungen der Vorinstanz im Rahmen der Beweiswürdigung ergibt.</w:t>
      </w:r>
    </w:p>
    <w:p>
      <w:r>
        <w:rPr>
          <w:b/>
        </w:rPr>
        <w:t>E. 3.6.3</w:t>
      </w:r>
    </w:p>
    <w:p>
      <w:r>
        <w:t>Die weiter von Dr. med. D.________ gestellte Diagnose einer chronischen Schmerzstörung mit somatischen und psychischen Faktoren, die auf "somatischem Kern" beruhe, wird nicht in Abrede gestellt. Ohnehin beschränkt sich die Beschwerdeführerin auf weiten Strecken darauf, lediglich die medizinischen Unterlagen abweichend von der Vorinstanz zu würdigen und daraus andere Schlüsse zu ziehen, was nicht genügt (Urteile 9C_794/2012 vom 4. März 2013 E. 4.1; 9C_65/2012 vom 28. Februar 2012 E. 4.3 mit Hinweisen). Insgesamt erfüllt das Gerichtsgutachten des Dr. med. D.________ die Anforderungen an die Beweiskraft (E. 3.2.1 und 3.2.3). Damit bleiben auch die darauf beruhenden vorinstanzlichen Feststellungen betreffend die Arbeitsfähigkeit für das Bundesgericht verbindlich (E. 1.1).</w:t>
      </w:r>
    </w:p>
    <w:p>
      <w:r>
        <w:rPr>
          <w:b/>
        </w:rPr>
        <w:t>E. 4.1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Dabei erscheint das Abstellen auf die den jeweiligen Zeitaufwand detailliert ausweisende Honorarnote des Rechtsvertreters grundsätzlich als sachgerecht (Urteil 9C_178/2011 vom 20. Mai 2011 E. 3.4.3). Im Übrigen ist die Bemessung der Parteientschädigung für das erstinstanzliche Beschwerdeverfahren in Sozialversicherungsangelegenheiten dem kantonalen Recht überlassen (Art. 61 Ingress ATSG). Das Bundesgericht hebt die Festsetzung eines Anwaltshonorars nur auf, wenn sie ausserhalb jedes vernünftigen Verhältnisses zu den mit Blick auf den konkreten Fall notwendigen anwaltlichen Bemühungen steht und in krasser Weise gegen das Gerechtigkeitsgefühl verstösst. Die entsprechende Rüge hat dabei den qualifizierten Anforderungen von Art. 106 Abs. 2 BGG zu genügen (SVR 2016 IV Nr. 14 S. 43, 8C_11/2016 E. 3.2 mit Hinweis; Urteile 9C_670/2015 vom 7. Januar 2016 E. 5.2; 9C_787/2014 vom 7. Juli 2015 E. 5.2).</w:t>
      </w:r>
    </w:p>
    <w:p>
      <w:r>
        <w:rPr>
          <w:b/>
        </w:rPr>
        <w:t>E. 4.2</w:t>
      </w:r>
    </w:p>
    <w:p>
      <w:r>
        <w:t>Die Vorinstanz hat klar dargelegt, dass der Aufwand in einer Kostennote detailliert ausgewiesen worden war und welche darin enthaltenen Posten sie im Einzelnen nicht anerkannt hat. Somit war für die Verwaltung eine sachgerechte Anfechtung des vorinstanzlichen Entscheides möglich (vgl. E. 3.1; SVR 2015 IV Nr. 30 S. 92, 9C_598/2014 E. 6.3), selbst wenn die Honorarnote für die Rechtsvertretung des Versicherten der IV-Stelle nicht zugestellt wurde. Diese macht im Übrigen auch nicht geltend, diesbezüglich überhaupt Akteneinsicht verlangt zu haben (vgl. Art. 5 Abs. 3 BV ).</w:t>
      </w:r>
    </w:p>
    <w:p>
      <w:r>
        <w:rPr>
          <w:b/>
        </w:rPr>
        <w:t>E. 4.3</w:t>
      </w:r>
    </w:p>
    <w:p>
      <w:r>
        <w:t>Die Beschwerdeführerin rügt in materieller Hinsicht lediglich, der vorinstanzlich anerkannte Aufwand von 22 Stunden für das Beschwerdeverfahren sei zu hoch. Inwiefern das kantonale Gericht sein Ermessen missbraucht resp. in Willkür verfallen sein soll (vgl. E. 4.1), wird damit nicht (substanziiert) vorgetragen. Solches ist auch nicht ersichtlich, ist doch bereits anhand der Zahl der von der Vorinstanz produzierten Aktenstücke und der Dauer des vorinstanzlichen Verfahrens ein eher überdurchschnittlicher Prozessaufwand ausgewiesen. Daran ändert nichts, dass der Rechtsvertreter schon im Verwaltungsverfahren tätig war. Die Berücksichtigung eines Aufwandes von 22 Stunden ist mit den Vorgaben von Art. 61 lit. g ATSG vereinbar. Auch in diesem Punkt ist die Beschwerde unbegründet.</w:t>
      </w:r>
    </w:p>
    <w:p>
      <w:r>
        <w:rPr>
          <w:b/>
        </w:rPr>
        <w:t>E. 5</w:t>
      </w:r>
    </w:p>
    <w:p>
      <w:r>
        <w:t>Mit dem Entscheid in der Sache wird das Gesuch um aufschiebende Wirkung der Beschwerde gegenstandslos.</w:t>
      </w:r>
    </w:p>
    <w:p>
      <w:r>
        <w:rPr>
          <w:b/>
        </w:rPr>
        <w:t>E. 6</w:t>
      </w:r>
    </w:p>
    <w:p>
      <w:r>
        <w:t>Dem Ausgang des Verfahrens entsprechend hat die Beschwerdeführerin die Gerichtskosten zu tragen ( Art. 66 Abs.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