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278/2013 vom 3. September 2013</w:t>
      </w:r>
    </w:p>
    <w:p>
      <w:r>
        <w:t>Bundesgericht, 2013-09-03, DE</w:t>
      </w:r>
    </w:p>
    <w:p>
      <w:r>
        <w:rPr>
          <w:b/>
        </w:rPr>
        <w:t xml:space="preserve">Quelle: </w:t>
      </w:r>
      <w:r>
        <w:t>https://mcp.opencaselaw.ch/entscheid/bger_9C_278_2013</w:t>
      </w:r>
    </w:p>
    <w:p>
      <w:r>
        <w:t>FR: TF 9C 278/2013 du 3 septembre 2013</w:t>
      </w:r>
    </w:p>
    <w:p>
      <w:r>
        <w:t>IT: TF 9C 278/2013 del 3 settembre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rPr>
          <w:b/>
        </w:rPr>
        <w:t>E. 3</w:t>
      </w:r>
    </w:p>
    <w:p>
      <w:r>
        <w:t>Bei Personen, die mehrere sich ablösende Staatsangehörigkeiten besessen haben, ist für die Rentenberechtigung die Staatsangehörigkeit während des Rentenbezugs massgebend. Diese Regelung ist in Art. 18 Abs. 2 bis AHVG eingefügt worden, der am 1. Januar 2012 in Kraft getreten ist (AS 2011 4745).</w:t>
      </w:r>
    </w:p>
    <w:p>
      <w:r>
        <w:rPr>
          <w:b/>
        </w:rPr>
        <w:t>E. 4</w:t>
      </w:r>
    </w:p>
    <w:p>
      <w:r>
        <w:t>Wie das Bundesgericht in BGE 139 V 263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rPr>
          <w:b/>
        </w:rPr>
        <w:t>E. 5.1</w:t>
      </w:r>
    </w:p>
    <w:p>
      <w:r>
        <w:t>Die bundesgerichtliche Rechtsprechung lässt sich ohne weiteres auf den hier zu beurteilenden Fall übertragen: Die Beschwerdegegnerin hat in ihrer Anmeldung für eine Hinterlassenenrente auf die Frage nach den "Staatsangehörigkeit (en) " sowohl in Bezug auf sich selber als auch hinsichtlich des verstorbenen Ehemannes ausschliesslich "Kosovo" angegeben. Eine Doppelbürgerschaft ist aus den Akten nicht ersichtlich und wird von ihr auch nur insoweit geltend gemacht, als sie sich darauf beruft, dass sämtliche Staatsbürger von Kosovo wegen der Nichtanerkennung ihres Staates durch Serbien auch noch die serbische Staatsbürgerschaft besitzen. Einen solchen Automatismus oder den Grundsatz, dass Personen aus dem Kosovo neben der Staatsangehörigkeit des Kosovos auch die serbische Staatsangehörigkeit besitzen, wie es im Entscheid C-4828/2010 des Bundesverwaltungsgerichts vom 7. März 2011 vertreten wird, hat das Bundesgericht jedoch in BGE 139 V 263 E. 12.2. S. 285 verneint.</w:t>
      </w:r>
    </w:p>
    <w:p>
      <w:r>
        <w:rPr>
          <w:b/>
        </w:rPr>
        <w:t>E. 5.2</w:t>
      </w:r>
    </w:p>
    <w:p>
      <w:r>
        <w:t>Was die zeitliche Geltung des Sozialversicherungsabkommens im Verhältnis zu Kosovo bis zum 31. März 2010 betrifft, ist für die Zusprache einer Hinterlassenenrente der Eintritt des Versicherungsfalles, das heisst vorliegend der Zeitpunkt des Todesfalls massgebend. Das Bundesgericht hat diese Handhabung, die mit dem auf den 1. Januar 2012 eingeführten Art. 18 Abs. 2 bis AHVG (vgl. E. 3) eine definitive Klärung erfahren hat, mit Urteil 9C_53/2013 vom 6. August 2013 E. 3.3 bestätigt (vgl. auch Urteile 9C_27/2013 und 9C_317/2013 vom 22. August 2013) und dort auch dargelegt, dass nicht auf die Beitragszeit abgestellt werden kann, wie das die Beschwerdegegnerin vorbringt, weil dieser Lösungsansatz der Rechtsprechung zur AHV-Rentenberechtigung eines Doppelbürgers Vertragsstaat/Nichtvertragsstaat entliehen ist und sich die Konstellation einer Doppelbürgerschaft von derjenigen einer wechselnden (Mono-) Staatsbürgerschaft erheblich unterscheidet.</w:t>
      </w:r>
    </w:p>
    <w:p>
      <w:r>
        <w:rPr>
          <w:b/>
        </w:rPr>
        <w:t>E. 5.3</w:t>
      </w:r>
    </w:p>
    <w:p>
      <w:r>
        <w:t>Der Versicherte verstarb am 30. April 2011, mithin in einem Zeitpunkt, in welchem das fragliche Sozialversicherungsabkommen im Verhältnis zu Kosovo nicht mehr anwendbar war. Ab dem Zeitpunkt, da die Beschwerdegegnerin über keinen Wohnsitz mehr in der Schweiz verfügte, hat sie deshalb keinen Anspruch auf eine Hinterlassenenrente. Wann die Beschwerdegegnerin die Schweiz tatsächlich verlassen und ihren Wohnsitz in der Schweiz aufgegeben hat, geht aus den Akten nicht eindeutig hervor. In der am 14. Juni 2011 datierten Vollmacht für die Tochter wird als Adresse der Beschwerdegegnerin bereits eine solche in Kosovo angegeben, während in der von der Gemeinde X.________ ausgestellten Todesurkunde als Wohnort ihres verstorbenen Ehemannes am 30. April 2011 noch Y.________ festgehalten wird (vgl. auch die Schreiben der kantonalen Ausgleichskasse I.________ vom 8. Juni 2011 und Dezember 2010). Ob die Beschwerdegegnerin allenfalls für Mai und Juni 2011 auf Grund eines Wohnsitzes in der Schweiz eine Witwenrente beanspruchen kann, lässt sich damit nicht abschliessend beurteilen. Die Sache ist zur diesbezüglichen Abklärung an die Vorinstanz zurückzuweisen.</w:t>
      </w:r>
    </w:p>
    <w:p>
      <w:r>
        <w:rPr>
          <w:b/>
        </w:rPr>
        <w:t>E. 6</w:t>
      </w:r>
    </w:p>
    <w:p>
      <w:r>
        <w:t>Eine Rückweisung zu erneutem Entscheid mit offenem Ausgang gilt als Obsiegen (Urteil 2C_60/2011 vom 12. Mai 2011 E. 2.4 mit Hinweis auf BGE 131 II 72 E. 4 S. 80 betreffend das öffentliche Recht). Bei diesem Ausgang des bundesgerichtlichen Verfahrens ist die Beschwerdegegnerin kostenpflichtig ( Art. 66 Abs. 1 BGG ). Ihrem Gesuch um unentgeltliche Rechtspflege für das bundesgerichtliche Verfahren kann entsprochen werden ( Art. 64 BGG ; BGE 125 V 201 E. 4a S. 202). Es wird jedoch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