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9C_276/2012 vom 14. Dezember 2012</w:t>
      </w:r>
    </w:p>
    <w:p>
      <w:r>
        <w:t>Bundesgericht, 2012-12-14, DE</w:t>
      </w:r>
    </w:p>
    <w:p>
      <w:r>
        <w:rPr>
          <w:b/>
        </w:rPr>
        <w:t xml:space="preserve">Quelle: </w:t>
      </w:r>
      <w:r>
        <w:t>https://mcp.opencaselaw.ch/entscheid/bger_9C_276_2012</w:t>
      </w:r>
    </w:p>
    <w:p>
      <w:r>
        <w:t>FR: TF 9C_276/2012 du 14 décembre 2012</w:t>
      </w:r>
    </w:p>
    <w:p>
      <w:r>
        <w:t>IT: TF 9C_276/2012 del 14 dicembre 2012</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Unrechtmässig bezogene Leistungen sind zurückzuerstatten (Art. 25 Abs. 1 erster Satz ATSG [SR 830.1]).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138 V 74 E. 4.1 S. 77 mit Hinweisen).</w:t>
      </w:r>
    </w:p>
    <w:p>
      <w:r>
        <w:rPr>
          <w:b/>
        </w:rPr>
        <w:t>E. 3</w:t>
      </w:r>
    </w:p>
    <w:p>
      <w:r>
        <w:t>Das kantonale Gericht hat zutreffend festgestellt, dass der Anspruch des Beschwerdeführers auf die bisher bezogene Witwerrente mit dessen Wiederverheiratung vom 2. April 2004 erloschen ist ( Art. 23 Abs. 4 lit. a AHVG ) und die in der Folge unrechtmässig bezogenen Leistungen - unabhängig von einer Meldepflichtverletzung - grundsätzlich zurückzuerstatten sind (Art. 25 Abs. 1 erster Satz ATSG; vgl. BGE 122 V 134 ). Nachfolgend zu prüfen ist, ob der Rückforderungsanspruch der Verwaltung verwirkt ist, weil - wie in der Beschwerde geltend gemacht - die hievor angeführte einjährige relative Verwirkungsfrist gemäss Art. 25 Abs. 2 ATSG bereits abgelaufen war, als die Ausgleichskasse ihre Rückerstattungsverfügung vom 27. September 2011 erliess. Nicht mehr im Streite liegt, dass selbst bei Verneinung dieser Frage nur die ab Oktober 2006 geleisteten Rentenbetreffnisse im Gesamtbetrag von Fr. 70'890.- zurückgefordert werden können, wogegen die von Mai 2004 bis September 2006 zu Unrecht bezogenen Witwerrenten zufolge Ablaufs der fünfjährigen absoluten Verwirkungsfrist nicht zurückzuerstatten sind.</w:t>
      </w:r>
    </w:p>
    <w:p>
      <w:r>
        <w:rPr>
          <w:b/>
        </w:rPr>
        <w:t>E. 4.1</w:t>
      </w:r>
    </w:p>
    <w:p>
      <w:r>
        <w:t>Laut bereits angeführtem (E. 2 hievor) Art. 25 Abs. 2 erster Satz ATSG verwirkt der Rückforderungsanspruch mit dem Ablauf eines Jahres, "nachdem die Versicherungseinrichtung davon Kenntnis erhalten hat". Unter dieser Wendung ist der Zeitpunkt zu verstehen, in welchem die Verwaltung bei Beachtung der ihr zumutbaren Aufmerksamkeit hätte erkennen müssen, dass die Voraussetzungen für eine Rückerstattung bestehen (SVR 2011 BVG Nr. 25 S. 93, 9C_611/2010 E. 3; vgl. BGE 124 V 380 E. 1 S. 382; 122 V 270 E. 5a S. 274; je mit Hinweisen).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 BGE 119 V 431 E. 3a S. 433; 112 V 180 E. 4c S. 182; ZAK 1989 S. 558, H 212/88 E. 4b in fine; Urteile 9C_534/2009 vom 4. Februar 2010 E. 3.2.2 und 9C_1057/2008 vom 4. Mai 2009 E. 4.1.2).</w:t>
      </w:r>
    </w:p>
    <w:p>
      <w:r>
        <w:rPr>
          <w:b/>
        </w:rPr>
        <w:t>E. 4.2</w:t>
      </w:r>
    </w:p>
    <w:p>
      <w:r>
        <w:t>Die Durchführung der Alters- und Hinterlassenenversicherung erfolgt unter der Aufsicht des Bundes durch die Arbeitgeber und Arbeitnehmer, Verbandsausgleichskassen, kantonale Ausgleichskassen, Ausgleichskassen des Bundes und eine zentrale Ausgleichsstelle ( Art. 49 AHVG ). Gemäss Art. 61 Abs. 1 AHVG werden die kantonalen Ausgleichskassen von den Kantonen als selbständige öffentliche Anstalten errichtet. Diese unterhalten in der Regel für jede Gemeinde eine Zweigstelle; wo die Verhältnisse es rechtfertigen, kann für mehrere Gemeinden eine gemeinsame Zweigstelle errichtet werden ( Art. 65 Abs. 2 AHVG ). Laut Art. 116 Abs. 1 der bundesrätlichen Verordnung vom 31. Oktober 1947 über die Alters- und Hinterlassenenversicherung (AHVV; SR 831.101) haben die Gemeindezweigstellen der kantonalen Ausgleichskassen in allen Fällen u.a. folgende Aufgaben zu übernehmen: Auskunftserteilung (lit. a); Entgegennahme und Weiterleitung von Korrespondenzen (lit. b); Abgabe der Formulare und der einschlägigen Vorschriften (lit. c) sowie Mitwirkung bei der Erfassung aller Beitragspflichtigen (lit. g); den Gemeindezweigstellen können weitere Aufgaben übertragen werden.</w:t>
      </w:r>
    </w:p>
    <w:p>
      <w:r>
        <w:t>Im Kanton Bern errichten die Einwohnergemeinden Zweigstellen der kantonalen Ausgleichskasse; mehrere Einwohnergemeinden können eine Zweigstelle gemeinsam führen (Art. 7 Abs. 1 und 2 des kantonalen Einführungsgesetzes vom 23. Juni 1993 zum AHVG [EG AHVG; BSG 841.11]). Nach Abs. 5 der letztgenannten Gesetzesbestimmung werden die Aufgaben und Befugnisse der Zweigstellen durch Verordnung des Regierungsrates geregelt. Gestützt darauf hat der Regierungsrat des Kantons Bern als weitere Aufgaben im Sinne von Art. 116 Abs. 1 in fine AHVV die Entgegennahme von Anmeldungen und Leistungsgesuchen, die Weiterleitung der überprüften Unterlagen sowie die laufende Meldung aller erheblichen Veränderungen den Gemeindezweigstellen übertragen (Art. 9 Abs. 2 in Verbindung mit Art. 10 Abs. 1 der Verordnung vom 4. November 1998 über die kantonale Ausgleichskasse und ihre Zweigstellen [AKBV; BSG 841.111]). Überdies wirken die Zweigstellen nach Art. 10 Abs. 2 AKBV u.a. mit bei der Überprüfung von Leistungsansprüchen (lit. d) und von Arbeitgebern, die nicht der Arbeitgeberkontrolle unterstehen (lit. e).</w:t>
      </w:r>
    </w:p>
    <w:p>
      <w:r>
        <w:rPr>
          <w:b/>
        </w:rPr>
        <w:t>E. 5.1</w:t>
      </w:r>
    </w:p>
    <w:p>
      <w:r>
        <w:t>Die vorliegenden (Renten-)Akten enthalten keinerlei Anhaltspunkte für den vom Beschwerdeführer erhobenen Einwand, wonach die Ausgleichskasse oder deren Zweigstelle X.________ bereits vor der im September 2011 erfolgten Datenabgleichung zwischen zentralem Rentenregister und Informatisiertem Standesregister Kenntnis von der Wiederverheiratung im April 2004 gehabt hätten. Der Beschwerdeführer macht denn auch geltend, "als juristischer Laie" sei er sich "nicht bewusst" gewesen, dass er die Zivilstandsänderung den AHV-Organen hätte melden müssen, "da bisher alles durch die Behörden geregelt" worden sei. Die Wiederverheiratung sei der Zivilstandsbehörde bekannt gewesen und somit auch der AHV-Zweigstelle X.________. Im Zusammenhang mit dem Down-Syndrom seines Sohnes hätten überdies periodisch Hausbesuche von IV-Abklärungspersonen stattgefunden, welche jeweils (auch) von der zweiten Ehefrau empfangen worden seien.</w:t>
      </w:r>
    </w:p>
    <w:p>
      <w:r>
        <w:t>Soweit sich der Beschwerdeführer auf den Standpunkt stellt, das Wissen von Zivilstandsbehörde und IV-Stelle um die neuerliche Heirat sei auch den AHV-Organen zuzurechnen, kann ihm nicht gefolgt werden. Nach Art. 63 Abs. 1 lit. b und c AHVG obliegt die Festsetzung und die Auszahlung der AHV-Renten (und somit auch die Rückforderung unrechtmässig bezogener Renten) allein den Ausgleichskassen (vgl. auch die in vorstehender E. 4.2 dargelegte Zuständigkeitsregelung). Offenkundig können weder Zivilstandsbehörde noch IV-Stelle als mit der Durchführung der Alters- und Hinterlassenenversicherung betraute Behörden im Sinne der angeführten Rechtsprechung gelten (E. 4.1 hievor in fine). Die Kenntnis einer in diesem Lichte unzuständigen Verwaltungsstelle vermag die einjährige Verwirkungsfrist des Art. 25 Abs. 2 erster Satz ATSG nicht auszulösen. An dieser Betrachtungsweise ändert nichts, dass die Ausgleichskasse bei einer früheren Abgleichung des zentralen Rentenregisters mit den Daten der Zivilstandsbehörden auch entsprechend früher auf die Wiederverheiratung des Beschwerdeführers gestossen wäre. Anzumerken bleibt, dass dem Zivilstandsregister gegenüber Sozialversicherungsträgern rechtsprechungsgemäss keine (mit dem Handelsregister vergleichbare) Publizitätswirkung beizumessen ist (SVR 2002 IV Nr. 2 S. 5, I 678/00 E. 3b).</w:t>
      </w:r>
    </w:p>
    <w:p>
      <w:r>
        <w:rPr>
          <w:b/>
        </w:rPr>
        <w:t>E. 5.2</w:t>
      </w:r>
    </w:p>
    <w:p>
      <w:r>
        <w:t>In Verdeutlichung seiner im kantonalen Verfahren vorgetragenen Sachverhaltsdarstellung macht der Beschwerdeführer letztinstanzlich geltend, dass er in den Jahren vor seiner zweiten Eheschliessung Kinderbetreuerinnen angestellt gehabt und für diese AHV-Beiträge abgerechnet habe. In der Folge seien ihm von der AHV-Zweigstelle X.________ noch mehrmals entsprechende Lohnbescheinigungsformulare zugestellt worden, welche er "jeweils mit dem Vermerk 'Aufgrund Wiederverheiratung hinfällig' retourniert habe". Über diesbezügliche Unterlagen verfügt der Beschwerdeführer selber offenbar nicht (mehr); immerhin findet sich in seinen vorinstanzlich eingereichten Akten die Kopie des Lohnbescheinigungsformulars für das Jahr 2006, welches seine Unterschrift und das Datum vom 15. Oktober 2007 trägt und zudem mit dem handschriftlichen Vermerk "=&gt; keine Personen mehr beschäftigt!" versehen wurde.</w:t>
      </w:r>
    </w:p>
    <w:p>
      <w:r>
        <w:t>Der Frage, ob der Beschwerdeführer die (weiter nicht ausgefüllten) Formulare für die Lohnabrechnungen der Jahre 2004 und 2005 sowie allenfalls 2007 ff. tatsächlich mit einem Verweis auf seine neuerliche Eheschliessung an die zuständige AHV-Zweigstelle X.________ (vgl. E. 4.2 hievor) zurückgesandt hat, ist entscheidwesentliche Bedeutung beizumessen: Art. 25 Abs. 2 erster Satz ATSG verlangt bloss, dass die Versicherungseinrichtung (hier die Ausgleichskasse) vom Rückforderungsanspruch Kenntnis erhält; auf welchem Wege dies geschieht, spielt grundsätzlich keine Rolle. So hat sich eine Ausgleichskasse das Wissen um einen zur Rentenrückforderung Anlass gebenden Sachverhalt rechtsprechungsgemäss auch dann anrechnen zu lassen, wenn ihr dieser im Zusammenhang mit der beitragsrechtlichen Erfassung des Rentenbezügers als Nichterwerbstätiger zur Kenntnis gelangte (Urteil des Eidgenössischen Versicherungsgerichts I 26/93 vom 25. Oktober 1995 E. 4d). Dies muss auch gelten, wenn die Kenntnisnahme durch die Kasse im Rahmen der Erfassung des Rentenbezügers als beitragspflichtiger Arbeitgeber erfolgt. Falls die Ausgleichskasse des Kantons Bern oder deren Gemeindezweigstelle X.________ tatsächlich auf die vom Beschwerdeführer geltend gemachte Art und Weise wiederholt von der neuerlichen Heirat vom 2. April 2004 erfahren hat, wäre der Rückforderungsanspruch zufolge Ablaufs der einjährigen Verwirkungsfrist längst erloschen gewesen, als die Kasse am 27. September 2011 die Rückerstattung der unrechtmässig bezogenen Witwerrenten verfügte. Etwas anderes gilt nur für die innerhalb eines Jahres vor Erlass der Rückerstattungsverfügung ausgerichteten Rentenbetreffnisse: Der diesbezügliche Rückforderungsanspruch konnte solange nicht verwirken, als die monatlichen Renten noch gar nicht ausbezahlt waren ( BGE 122 V 270 E. 5b/bb S. 276; SVR 2012 IV Nr. 33 S. 131, 9C_363/2010 E. 3.1 und 3.2).</w:t>
      </w:r>
    </w:p>
    <w:p>
      <w:r>
        <w:rPr>
          <w:b/>
        </w:rPr>
        <w:t>E. 5.3</w:t>
      </w:r>
    </w:p>
    <w:p>
      <w:r>
        <w:t>Die Ausgleichskasse hat in ihrer Vernehmlassung ebenso wenig wie das kantonale Gericht oder das BSV zu den letztinstanzlichen Vorbringen des Beschwerdeführers Stellung bezogen. Die Kasse hat auch davon abgesehen, die beitragsrechtlichen Akten des Beschwerdeführers nachzureichen. Im Lichte vorstehender Erwägungen ist es jedoch unabdingbar, die Frage nach der Verwirkung der Rückerstattungsforderung nicht nur auf der Grundlage der leistungsbezogenen, sondern auch der beitragsbezogenen Kassenunterlagen zu beantworten. Die Sache wird deshalb zur Einholung sämtlicher den Beschwerdeführer betreffenden Akten der Ausgleichskasse (einschliesslich derjenigen der AHV-Zweigstelle X.________) und zu anschliessendem neuen Entscheid über die Rückerstattung der unrechtmässig bezogenen Witwerrenten an die Vorinstanz zurückgewiesen.</w:t>
      </w:r>
    </w:p>
    <w:p>
      <w:r>
        <w:rPr>
          <w:b/>
        </w:rPr>
        <w:t>E. 6</w:t>
      </w:r>
    </w:p>
    <w:p>
      <w:r>
        <w:t>Ausgangsgemäss trägt die Ausgleichskasse die Gerichtskosten ( Art. 66 Abs. 1 BGG ); überdies hat sie dem Beschwerdeführer eine Parteientschädigung zu entrichten ( Art. 68 Abs. 2 BGG ; BGE 137 V 210 E. 7.1 S. 271; 132 V 215 E. 6.1 S. 235). Dessen Gesuch um unentgeltliche Rechtspflege für das Verfahren vor dem Bundesgericht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