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9C_276/2007 vom 25. Juni 2007</w:t>
      </w:r>
    </w:p>
    <w:p>
      <w:r>
        <w:t>Bundesgericht, 2007-06-25, DE</w:t>
      </w:r>
    </w:p>
    <w:p>
      <w:r>
        <w:rPr>
          <w:b/>
        </w:rPr>
        <w:t xml:space="preserve">Quelle: </w:t>
      </w:r>
      <w:r>
        <w:t>https://mcp.opencaselaw.ch/entscheid/bger_9C_276_2007</w:t>
      </w:r>
    </w:p>
    <w:p>
      <w:r>
        <w:t>FR: TF 9C_276/2007 du 25 juin 2007</w:t>
      </w:r>
    </w:p>
    <w:p>
      <w:r>
        <w:t>IT: TF 9C_276/2007 del 25 giugno 2007</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zur auch unter der Herrschaft des BGG gültigen Abgrenzung von Tat- und Rechtsfragen im Bereich der Invaliditätsbemessung [ Art. 16 ATSG ] für die Ermittlung des Invaliditätsgrades nach Art. 28 Abs. 1 IVG</w:t>
      </w:r>
    </w:p>
    <w:p>
      <w:r>
        <w:t>BGE 132 V 393 ).</w:t>
      </w:r>
    </w:p>
    <w:p>
      <w:r>
        <w:rPr>
          <w:b/>
        </w:rPr>
        <w:t>E. 2</w:t>
      </w:r>
    </w:p>
    <w:p>
      <w:r>
        <w:t>Das kantonale Urteil lautet auf Rückweisung und ist damit als Zwischenentscheid zu qualifizieren, der unter den Voraussetzungen gemäss Art. 93 BGG anfechtbar ist. Der Zulässigkeitstatbestand gemäss Abs. 1 lit. a dieser Bestimmung (nicht wieder gutzumachender Nachteil) ist nur erfüllt, wenn das Rückweisungsurteil durch materielle Vorgaben den Beurteilungsspielraum der unteren Instanz wesentlich einschränkt und davon in der Folge nicht mehr abgewichen werden kann ( BGE 129 I 313 E. 3.2 S. 317). So verhält es sich hier aber nicht, weil die Vorinstanz die Beschwerdeführerin nur wegen Unklarheiten in der Sachverhaltserhebung angewiesen hat, ergänzende Abklärungen zu treffen, ohne materielle Vorgaben zu machen. Ob dieser oder der Eintretungsgrund gemäss Art. 93 Abs. 1 lit. b BGG (Vermeidung unnötigen Verfahrensaufwandes) gegeben sei - was bejahendenfalls bei beschwerdeweise einzig kritisierten Sachverhaltswürdigungen im Hinblick auf die Kognition (E. 1) regelmässig zu Abweisungen führte, womit der damit bezweckte Nutzen doch nicht einträte -, ist eher zu verneinen, kann aber für einmal noch offen bleiben, da die Beschwerde ohnehin als offensichtlich unbegründet abzuweisen ist (E. 4).</w:t>
      </w:r>
    </w:p>
    <w:p>
      <w:r>
        <w:rPr>
          <w:b/>
        </w:rPr>
        <w:t>E. 3</w:t>
      </w:r>
    </w:p>
    <w:p>
      <w:r>
        <w:t>Die Vorinstanz hat in pflichtgemässer Würdigung der gesamten Aktenlage, unter Berücksichtigung der - insbesondere bezüglich Leistungsfähigkeit - abweichenden Beurteilungen des Gutachtens des Ärztlichen Begutachtungsinstituts X.________, vom 30. Mai 2005 sowie des Chirurgen Dr. med. I.________, Spital Y.________, vom 24. Mai 2006 und des Anästhesiologen Dr. med. Z.________, P.________ AG, vom 7. Juni 2006, mit einlässlicher und nachvollziehbarer Begründung zur streitigen Frage der Arbeits(un)fähigkeit ein polydisziplinäres Obergutachten angeordnet, wobei zumindest chirurgische, neurologische und psychiatrische Untersuchungen vorzunehmen seien. Während das Gutachten des Ärztlichen Begutachtungsinstitut X.________ Schmerzen im Bereich der Inguina rechts (ICD-R52.2) diagnostizierte und den Verdacht auf eine anhaltende somatoforme Schmerzstörung äusserte, was ohne Einfluss auf die Arbeitsfähigkeit bleibe, ging etwa Dr. med. Z.________ zwar ebenfalls von rechtsseitigen Leistenschmerzen aus, führte diese aber auf einen Deafferenzierungsschmerz "im Versorgungsgebiet des resezierten Nervus ilioinguinalis" zurück und attestierte eine "starke" Beeinträchtigung der Arbeitsfähigkeit. Namentlich aufgrund dieser sich widersprechenden Stellungnahmen erachtete es das kantonale Gericht als erforderlich, weitere sachverhaltliche Abklärungen durchzuführen. Dagegen erhebt die Beschwerdeführerin im Wesentlichen Einwendungen tatsächlicher Natur: So kritisiert sie insbesondere, das vorinstanzliche Ergebnis der Beweiswürdigung, aufgrund dessen die medizinischen Weiterungen angeordnet wurden, sei "nicht überzeugend". Da das Bundesgericht lediglich befugt ist, offensichtlich unrichtige Tatsachenfeststellungen der Vorinstanz zu berichtigen (E. 2), ist diese Rüge unbehelflich. Im Übrigen räumt die IV-Stelle in ihrer Beschwerdeschrift selbst eine "diffuse medizinische Situation" ein. Unbegründet ist schliesslich die Rüge, es sei "Sache der medizinischen Experten" über die vorzunehmenden Untersuchungen und die beizuziehenden Spezialisten zu entscheiden, sodass Verwaltung oder Gericht diesbezüglich nur "ausnahmsweise und bei triftigen Gründen" Anordnungen treffen dürften. Rechtliche Vorgaben im Rahmen des Rückweisungsentscheides sind vielmehr grundsätzlich zulässig und verletzen Bundesrecht nicht. Zeigt sich im Rahmen der Begutachtung, dass diese nicht zweckmässig oder gar unrichtig sind, hat der Experte darauf hinzuweisen.</w:t>
      </w:r>
    </w:p>
    <w:p>
      <w:r>
        <w:rPr>
          <w:b/>
        </w:rPr>
        <w:t>E. 4</w:t>
      </w:r>
    </w:p>
    <w:p>
      <w:r>
        <w:t>Die Beschwerde hatte keine Aussicht auf Erfolg, weshalb sie, soweit zulässig, im vereinfachten Verfahren nach Art. 109 BGG als offensichtlich unbegründet (Abs. 2 lit. a), ohne Durchführung des Schriftenwechsels, mit summarischer Begründung und unter Verweis auf den vorinstanzlichen Entscheid, erledigt wird.</w:t>
      </w:r>
    </w:p>
    <w:p>
      <w:r>
        <w:rPr>
          <w:b/>
        </w:rPr>
        <w:t>E. 5</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