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9C_275/2020 vom 16. September 2020</w:t>
      </w:r>
    </w:p>
    <w:p>
      <w:r>
        <w:t>Bundesgericht, 2020-09-16, DE</w:t>
      </w:r>
    </w:p>
    <w:p>
      <w:r>
        <w:rPr>
          <w:b/>
        </w:rPr>
        <w:t xml:space="preserve">Quelle: </w:t>
      </w:r>
      <w:r>
        <w:t>https://mcp.opencaselaw.ch/entscheid/bger_9C_275_2020</w:t>
      </w:r>
    </w:p>
    <w:p>
      <w:r>
        <w:t>FR: TF 9C_275/2020 du 16 septembre 2020</w:t>
      </w:r>
    </w:p>
    <w:p>
      <w:r>
        <w:t>IT: TF 9C_275/2020 del 16 settembre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1.4.1</w:t>
      </w:r>
    </w:p>
    <w:p>
      <w:r>
        <w:t>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(SVR 2004 IV Nr. 25 S. 75 E. 3.2.1 mit Hinweisen, I 138/02; Urteil 1C_37/2020 vom 24. Juni 2020 E. 1.2).</w:t>
      </w:r>
    </w:p>
    <w:p>
      <w:r>
        <w:rPr>
          <w:b/>
        </w:rPr>
        <w:t>E. 1.4.2</w:t>
      </w:r>
    </w:p>
    <w:p>
      <w:r>
        <w:t>Der Beschwerdeführer beantragt die Weiterausrichtung der ihm befristet zugesprochenen Invalidenrente über den 1. November 2018 hinaus. Bei der Formulierung dieses Antrages hat er indessen offensichtlich übersehen, dass das kantonale Gericht im Sinne einer reformatio in peius den Rentenanspruch bereits per 31. Januar 2018 aufgehoben hat. Aus dem Gesamtzusammenhang der Beschwerde ergibt sich jedoch, dass der Versicherte die Befristung als solche bestreitet. Streitig und zu prüfen ist somit, ob die Vorinstanz Bundesrecht verletzte, als sie den Rentenanspruch des Versicherten auf Ende Januar 2018 befristete.</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Die Rente wird von Amtes wegen oder auf Gesuch hin für die Zukunft entsprechend erhöht, herabgesetzt oder aufgehoben ( Art. 17 Abs. 1 ATSG ; Art. 88a IVV ), wenn sich der Invaliditätsgrad eines Rentenbezügers erheblich ändert (vgl. auch BGE 134 V 131 E. 3 S. 132). Nach der Rechtsprechung sind diese Revisionsbestimmungen bei der rückwirkenden Zusprechung einer abgestuften oder befristeten Rente analog anwendbar ( BGE 133 V 263 E. 6.1 mit Hinweisen).</w:t>
      </w:r>
    </w:p>
    <w:p>
      <w:r>
        <w:rPr>
          <w:b/>
        </w:rPr>
        <w:t>E. 3.1</w:t>
      </w:r>
    </w:p>
    <w:p>
      <w:r>
        <w:t>Das kantonale Gericht hat in umfassender Würdigung der medizinischen Akten, insbesondere aber gestützt auf das Gutachten des SMAB vom 15. Dezember 2017 für das Bundesgericht grundsätzlich verbindlich festgestellt, dass sich der Gesundheitszustand spätestens bis zum Zeitpunkt der Begutachtung im Oktober 2017 des Versicherten verbessert hat. Da die von den Gutachtern vorgeschlagene Kräftigungs- und Balancierungstherapie invalidenversicherungsrechtlich nicht relevant sei (vgl. insbesondere Urteil 9C_432/2015 vom 23. September 2015 E. 5.2), sei bereits ab Oktober 2017 von einer medizinisch-theoretischen Arbeitsfähigkeit von 100 % in einer angepassten Tätigkeit auszugehen.</w:t>
      </w:r>
    </w:p>
    <w:p>
      <w:r>
        <w:rPr>
          <w:b/>
        </w:rPr>
        <w:t>E. 3.2</w:t>
      </w:r>
    </w:p>
    <w:p>
      <w:r>
        <w:t>Was der Beschwerdeführer gegen diese für das Bundesgericht grundsätzlich verbindliche Feststellung der medizinisch-theoretischen Arbeitsfähigkeit vorbringt, vermag sie nicht als offensichtlich unrichtig oder sonstwie bundesrechtswidrig erscheinen zu lassen. Wie die Vorinstanz zutreffend erwogen hat, ist rechtsprechungsgemäss auf ein im Verfahren nach Art. 44 ATSG eingeholtes Gutachten abzustellen, wenn nicht konkrete Indizien gegen die Zuverlässigkeit der Expertise sprechen ( BGE 135 V 465 E. 4.4 S. 470). Entgegen den Ausführungen des Beschwerdeführers stellt das Lebensalter des Experten (gemäss den Vorbringen des Versicherten war der Experte im Zeitpunkt der Begutachtung 75 Jahre alt) für sich alleine noch kein solches Indiz dar (vgl. auch Urteil 9C_555/2017 vom 22. November 2017 E. 3.6; vgl. dagegen anders in Bezug auf Überlegungen zur rechtsgleichen Behandlung Urteil 1C_295/2019 vom 16. Juli 2020 E. 5.3). Selbst wenn sich der Experte im Weiteren in der Vergangenheit als Sportarzt angepriesen haben und als Mannschaftsarzt für einen professionellen Fussballverein tätig gewesen sein sollte, so stellte dies seine fachliche Eignung zur Erstellung eines Gutachtens nicht in Frage. Entsprechend braucht nicht näher geprüft zu werden, ob die in diesem Zusammenhang vom Beschwerdeführer letztinstanzlich erstmals eingereichten Dokumente mit Blick auf Art. 99 Abs. 1 BGG als Beweismittel zulässig sind. Gleiches gilt auch, soweit er in der Beschwerde erstmals geltend macht, für die Begutachtung hätte ein Rheumatologe zugezogen werden müssen: Der Beschwerdeführer legt nicht dar, inwiefern der Einbezug eines entsprechenden Facharztes zwingend erforderlich gewesen wäre, obwohl die Experten des SMAB den Beizug eines solchen offenbar nicht für notwendig hielten (vgl. zur Verantwortung der medizinischen Experten bei der Auswahl der Fachdisziplinen im Allgemeinen: BGE 139 V 349 E. 3.3 S. 352 f.; zum Verzicht auf eine rheumatologische Begutachtung bei Vorliegen einer orthopädischen im Speziellen: Urteil 9C_744/2016 vom 11. Oktober 2017 E. 2).</w:t>
      </w:r>
    </w:p>
    <w:p>
      <w:r>
        <w:rPr>
          <w:b/>
        </w:rPr>
        <w:t>E. 3.3</w:t>
      </w:r>
    </w:p>
    <w:p>
      <w:r>
        <w:t>Die vorinstanzlichen Erwägungen, wonach die von den Gutachtern vorgeschlagene Kräftigungs- und Balancierungstherapie in dem Sinne invalidenversicherungsrechtlich nicht relevant ist, als schon ab dem Gutachtenszeitpunkt von einer medizinisch-theoretischen Arbeitsfähigkeit von 100 % in einer angepassten Tätigkeit auszugehen ist, sind letztinstanzlich unbestritten geblieben. Damit erübrigt sich auch eine Auseinandersetzung mit der nach Angaben des Versicherten im Jahre 2018 erfolglos durchgeführten Therapie.</w:t>
      </w:r>
    </w:p>
    <w:p>
      <w:r>
        <w:rPr>
          <w:b/>
        </w:rPr>
        <w:t>E. 3.4</w:t>
      </w:r>
    </w:p>
    <w:p>
      <w:r>
        <w:t>Durfte das kantonale Gericht, ohne Bundesrecht zu verletzen, von einer 100%igen Arbeitsfähigkeit in einer angepassten Tätigkeit ab Oktober 2017 ausgehen, so ist bei im Übrigen unbestritten gebliebener Invaliditätsbemessung die Rentenaufhebung auf Ende Januar 2018 nicht zu beanstanden. Ebenfalls zu keinen Weiterungen Anlass gibt die daraus folgende vorinstanzliche Festsetzung des Rückforderungsbetrages auf Fr. 10'980.-. Die offensichtlich unbegründete Beschwerde ist im Verfahren nach Art. 109 Abs. 2 lit. a BGG abzuweisen.</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