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9C_275/2008 vom 24. Juli 2008</w:t>
      </w:r>
    </w:p>
    <w:p>
      <w:r>
        <w:t>Bundesgericht, 2008-07-24, DE</w:t>
      </w:r>
    </w:p>
    <w:p>
      <w:r>
        <w:rPr>
          <w:b/>
        </w:rPr>
        <w:t xml:space="preserve">Quelle: </w:t>
      </w:r>
      <w:r>
        <w:t>https://mcp.opencaselaw.ch/entscheid/bger_9C_275_2008</w:t>
      </w:r>
    </w:p>
    <w:p>
      <w:r>
        <w:t>FR: TF 9C_275/2008 du 24 juillet 2008</w:t>
      </w:r>
    </w:p>
    <w:p>
      <w:r>
        <w:t>IT: TF 9C_275/2008 del 24 luglio 2008</w:t>
      </w:r>
    </w:p>
    <w:p>
      <w:pPr>
        <w:pStyle w:val="Heading2"/>
      </w:pPr>
      <w:r>
        <w:t>Erwägungen</w:t>
      </w:r>
    </w:p>
    <w:p>
      <w:r>
        <w:rPr>
          <w:b/>
        </w:rPr>
        <w:t>E. 1</w:t>
      </w:r>
    </w:p>
    <w:p>
      <w:r>
        <w:t>In formeller Hinsicht wird beanstandet, dass der angefochtene Entscheid als einzelrichterlicher Entscheid erging. Diese Rüge der funktionellen Unzuständigkeit des Einzelrichters ist vorab zu prüfen, da bei deren Begründetheit der angefochtene Entscheid ohne Prüfung der materiell streitigen Fragen aufzuheben ist (vgl. BGE 125 V 499 E. 2c S. 502).</w:t>
      </w:r>
    </w:p>
    <w:p>
      <w:r>
        <w:rPr>
          <w:b/>
        </w:rPr>
        <w:t>E. 2.1</w:t>
      </w:r>
    </w:p>
    <w:p>
      <w:r>
        <w:t>Die Rechtspflegebestimmung des Art. 61 ATSG enthält keine Vorschrift über die Zusammensetzung der kantonalen Versicherungsgerichte. Die Regelung dieser Frage obliegt somit den Kantonen. Sowohl Art. 30 Abs. 1 BV als auch Art. 6 Ziff. 1 EMRK geben dem Einzelnen Anspruch auf richtige Besetzung des Gerichts und Einhaltung der jeweils geltenden staatlichen Zuständigkeitsordnung ( BGE 129 V 335 E. 1.3.1 S. 338, 128 V 82 E. 2a S. 84, 127 I 128 E. 3c S. 130, S. 196 E. 2b S. 198, 126 I 168 E. 2b S. 170; SVR 2000 UV Nr. 21 S. 72 E. 2a).</w:t>
      </w:r>
    </w:p>
    <w:p>
      <w:r>
        <w:rPr>
          <w:b/>
        </w:rPr>
        <w:t>E. 2.2</w:t>
      </w:r>
    </w:p>
    <w:p>
      <w:r>
        <w:t>Die Verletzung von Grundrechten (einschliesslich der willkürlichen Anwendung von kantonalem Recht und Willkür bei der Sachverhaltsfeststellung, BGE 133 II 249 E. 1.4.3 S. 255) prüft das Bundesgericht nicht von Amtes wegen, sondern nur insoweit, als eine solche Rüge in der Beschwerde vorgebracht und begründet worden ist ( Art. 106 Abs. 2 BGG ; BGE 133 II 249 E. 1.4.2 S. 254 mit Hinweisen).</w:t>
      </w:r>
    </w:p>
    <w:p>
      <w:r>
        <w:rPr>
          <w:b/>
        </w:rPr>
        <w:t>E. 2.3</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genannten Garantien der Art. 30 Abs. 1 BV und Art. 6 Ziff. 1 EMRK vereinbar ist.</w:t>
      </w:r>
    </w:p>
    <w:p>
      <w:r>
        <w:rPr>
          <w:b/>
        </w:rPr>
        <w:t>E. 3.1</w:t>
      </w:r>
    </w:p>
    <w:p>
      <w:r>
        <w:t>Gemäss § 9 Abs. 1 des zürcherischen Gesetzes über das Sozialversicherungsgericht vom 7. März 1993 (GSVGer; LS 212.81) wird das Gericht für seine Entscheide mit drei Richtern besetzt. Die voll- und teilamtlichen Mitglieder des Gerichts entscheiden laut § 11 GSVGer als Einzelrichterinnen und Einzelrichter Streitigkeiten, deren Streitwert Fr. 20'000.- nicht übersteigt (Abs. 1). Sie können das Verfahren in Fällen von grundsätzlicher Bedeutung dem Gericht zur Behandlung in ordentlicher Besetzung überweisen (Abs. 3). Aus dieser gesetzlichen Zuständigkeitsordnung ergibt sich im Umkehrschluss, dass Verhandlung, Beratung und Urteilsfindung in Dreierbesetzung zu erfolgen haben, wenn der Streitwert den Betrag von Fr. 20'000.- übersteigt oder wenn er nicht bestimmbar ist (Urteil A. vom 21. Oktober 1999, I 494/98).</w:t>
      </w:r>
    </w:p>
    <w:p>
      <w:r>
        <w:rPr>
          <w:b/>
        </w:rPr>
        <w:t>E. 3.2</w:t>
      </w:r>
    </w:p>
    <w:p>
      <w:r>
        <w:t>Der Einzelrichter sah sich für die Beurteilung der Beschwerde als zuständig an mit der Begründung, der Streitwert übersteige Fr. 20'000.- nicht. Die Beschwerdeführerin stellt sich auf den Standpunkt, in der vorliegenden Streitsache handle es sich um einen nicht bestimmbaren Streitwert. Streitgegenstand seien keine Leistungen oder Beiträge, sondern die an sie gerichtete Anordnung, sich einer stationären Psychotherapie zu unterziehen und die Dosis der Psychopharmaka zu erhöhen. Von diesem Streitgegenstand könne kein Streitwert abgeleitet werden. Folglich liege auch kein Anwendungsfall für die einzelrichterliche Zuständigkeit vor (Hinweis auf Christian Zünd, Kommentar zum Gesetz über das Sozialversicherungsgericht vom 7. März 1993, Rz. 4 zu § 11).</w:t>
      </w:r>
    </w:p>
    <w:p>
      <w:r>
        <w:rPr>
          <w:b/>
        </w:rPr>
        <w:t>E. 3.3</w:t>
      </w:r>
    </w:p>
    <w:p>
      <w:r>
        <w:t>Gegenstand der Verfügung der IV-Stelle vom 20. Dezember 2007 ist der Anspruch der Beschwerdeführerin auf unentgeltlichen Rechtsbeistand im IV-rechtlichen Abklärungsverfahren. Dementsprechend hat die IV-Stelle im Dispositiv ihrer Verfügung das Gesuch um unentgeltlichen Rechtsbeistand abgewiesen. In der vorinstanzlichen Beschwerde vom 30. Januar 2008 hat der Rechtsvertreter der Beschwerdeführerin den Antrag gestellt, es sei der Beschwerdeführerin für das Verwaltungsverfahren bis zum Erlass der Verfügung vom 20. Dezember 2007 die unentgeltliche Verbeiständung zu bewilligen. Im Eventualstandpunkt beantragte er, es sei das Verfahren an die IV-Stelle zurückzuweisen, damit diese in Verfügungsform über die der Beschwerdeführerin auferlegten Anordnungen entscheide. Im angefochtenen Entscheid vom 8. Februar 2008 hat der Einzelrichter ausgeführt, die Beschwerde richte sich zur Hauptsache im Sinne einer Rechtsverweigerungsbeschwerde gegen die Weigerung der IV-Stelle, in Verfügungsform über die der Beschwerdeführerin auferlegten Anordnungen zu entscheiden. Er kam zum Schluss, die Rechtsverweigerungsbeschwerde sei unbegründet und ohne weiteres abzuweisen. Die Behandlung der Rechtsverweigerungsbeschwerde hätte jedoch mangels bestimmbaren Streitwerts nicht einzelrichterlich erfolgen dürfen, sondern durch das Kollegialgericht. Dies entspricht denn auch der Praxis der Vorinstanz (vgl. Urteil der IV. Kammer des Sozialversicherungsgerichts des Kantons Zürich vom 14. Mai 2003 in Sachen A., UV.2002.00176). Der angefochtene Entscheid ist daher aufzuheben, ohne dass zu den materiellen Streitfragen (Anspruch auf unentgeltliche Verbeiständung im Verwaltungsverfahren, Rechtsverweigerung im Zusammenhang mit Anordnungen gestützt auf die Schadenminderungspflicht) Stellung zu nehmen ist. Unter diesen Umständen braucht nicht geprüft zu werden, ob es sich bei einer vorinstanzlichen Beschwerde gegen die Verweigerung der unentgeltlichen Verbeiständung für das Verwaltungsverfahren als solche überhaupt um einen Gegenstand mit bestimmbarem Streitwert handelt.</w:t>
      </w:r>
    </w:p>
    <w:p>
      <w:r>
        <w:rPr>
          <w:b/>
        </w:rPr>
        <w:t>E. 4</w:t>
      </w:r>
    </w:p>
    <w:p>
      <w:r>
        <w:t>Als unterliegende Partei hat die IV-Stelle die Gerichtskosten zu tragen ( Art. 66 Abs. 1 BGG ) und überdies die Beschwerdeführerin zu entschädigen ( Art. 68 Abs. 2 BGG ). Das Gesuch der Beschwerdeführerin um unentgeltliche Rechtspflege für das letztinstanzliche Verfahren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