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9C_273/2011 vom 27. Januar 2012</w:t>
      </w:r>
    </w:p>
    <w:p>
      <w:r>
        <w:t>Bundesgericht, 2012-01-27, IT</w:t>
      </w:r>
    </w:p>
    <w:p>
      <w:r>
        <w:rPr>
          <w:b/>
        </w:rPr>
        <w:t xml:space="preserve">Quelle: </w:t>
      </w:r>
      <w:r>
        <w:t>https://mcp.opencaselaw.ch/entscheid/bger_9C_273_2011</w:t>
      </w:r>
    </w:p>
    <w:p>
      <w:r>
        <w:t>FR: TF 9C_273/2011 du 27 janvier 2012</w:t>
      </w:r>
    </w:p>
    <w:p>
      <w:r>
        <w:t>IT: TF 9C_273/2011 del 27 gennaio 2012</w:t>
      </w:r>
    </w:p>
    <w:p>
      <w:pPr>
        <w:pStyle w:val="Heading2"/>
      </w:pPr>
      <w:r>
        <w:t>Erwägungen</w:t>
      </w:r>
    </w:p>
    <w:p>
      <w:r>
        <w:rPr>
          <w:b/>
        </w:rPr>
        <w:t>E. 1</w:t>
      </w:r>
    </w:p>
    <w:p>
      <w:r>
        <w:t>Controversa in questa sede è unicamente l'entità della riduzione operata dal Tribunale amministrativo federale sul salario statistico da invalido ricavato dall'inchiesta svizzera sulla struttura dei salari [ISS] dell'Ufficio federale di statistica ( DTF 129 V 472 consid. 4.2.3 pag. 481; 126 V 75 ).</w:t>
      </w:r>
    </w:p>
    <w:p>
      <w:r>
        <w:rPr>
          <w:b/>
        </w:rPr>
        <w:t>E. 1.1</w:t>
      </w:r>
    </w:p>
    <w:p>
      <w:r>
        <w:t>Il giudizio impugnato espone correttamente le disposizioni legali relative alla nozione di invalidità, alla valutazione dell'incapacità di guadagno di assicurati esercitanti un'attività lucrativa e alla revisione del diritto alla rendita. A tale esposizione può essere fatto riferimento e prestata adesione.</w:t>
      </w:r>
    </w:p>
    <w:p>
      <w:r>
        <w:rPr>
          <w:b/>
        </w:rPr>
        <w:t>E. 1.2</w:t>
      </w:r>
    </w:p>
    <w:p>
      <w:r>
        <w:t>Il tema di sapere se si debba procedere a una riduzione del salario statistico in considerazione di circostanze particolari (legate all'handicap della persona o ad altri fattori) è una questione di diritto liberamente riesaminabile dal Tribunale federale. Per contro, l'estensione di tale riduzione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DTF 137 V 71 consid. 5.1 pag. 72 seg.; 132 V 393 consid. 3.3 pag. 399). Un abuso del potere di apprezzamento si verifica se l'autorità,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proporzionalità ( DTF 123 V 150 consid. 2 pag. 152 con riferimenti). Commette un eccesso positivo del proprio potere di apprezzamento l'autorità che esercita il suo apprezzamento quando invece la legge lo esclude o che anziché scegliere fra due soluzioni sostenibili, ne adotti una terza ( DTF 116 V 307 consid. 2 pag. 310 e riferimenti). Si registra ugualmente un eccesso del potere di apprezzamento nel caso in cui esso è negativo, ossia se l'autorità si reputa vincolata quando invece la legge l'autorizza a statuire secondo il proprio apprezzamento, oppure se rinuncia d'acchito in tutto o in parte a esercitare il suo potere di apprezzamento ( DTF 116 V 307 consid. 2 pag. 310 con riferimenti).</w:t>
      </w:r>
    </w:p>
    <w:p>
      <w:r>
        <w:rPr>
          <w:b/>
        </w:rPr>
        <w:t>E. 1.3</w:t>
      </w:r>
    </w:p>
    <w:p>
      <w:r>
        <w:t>Contrariamente al potere di apprezzamento del Tribunale federale, quello dell'autorità giudiziaria di primo grado non è per contro limitato alla violazione del diritto (compresi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 DTF 126 V 75 consid. 6 pag. 81; DTF 137 V 71 consid. 5.2 pag. 73 seg.). Ne discende che il Tribunale amministrativo federale (v. art. 37 LTAF in relazione con l' art. 49 PA ), quando è chiamato a verificare il potere di apprezzamento esercitato dall'amministrazione per fissare l'estensione della riduzione sul reddito da invalido, deve dirigere la propria attenzione sulle differenti soluzioni che si offrivano agli organi esecutivi dell'AI e domandarsi se una deduzione più o meno elevata (ma comunque limitata al 25% [ DTF 126 V 75 ]) sia maggiormente appropriata e si imponga per un valido motivo, ma senza altrimenti sostituire il proprio apprezzamento a quello dell'amministrazione (DTF 9C_280/2010 citata consid. 5.2 in fine).</w:t>
      </w:r>
    </w:p>
    <w:p>
      <w:r>
        <w:rPr>
          <w:b/>
        </w:rPr>
        <w:t>E. 2.1</w:t>
      </w:r>
    </w:p>
    <w:p>
      <w:r>
        <w:t>Nell'aumentare, dal 10% al 20%, il tasso di riduzione sul reddito base da invalido, i primi giudici hanno effettuato un legittimo controllo di adeguatezza della decisione amministrativa fondandosi peraltro su motivi pertinenti, riconosciuti dalla giurisprudenza. Ora, per potere validamente contestare questa valutazione, l'UAIE avrebbe dovuto spiegare perché e in quale misura l'istanza giudiziaria di primo grado avrebbe commesso un eccesso o un abuso del potere di apprezzamento. Ciò che però l'amministrazione nemmeno pretende, limitandosi piuttosto a richiamare sentenze - neppure troppo recenti - del Tribunale federale delle assicurazioni a sostegno della soluzione da lei adottata. Il che però non basta ancora per riformare il giudizio impugnato e per ritenerlo contrario al diritto.</w:t>
      </w:r>
    </w:p>
    <w:p>
      <w:r>
        <w:rPr>
          <w:b/>
        </w:rPr>
        <w:t>E. 2.2</w:t>
      </w:r>
    </w:p>
    <w:p>
      <w:r>
        <w:t>In via abbondanziale si osserva comunque che la decisione dell'UAIE di accordare una riduzione complessiva del 10% (5% per attività leggera e 5% in considerazione del lungo periodo di inattività perdurante dal 1996) poteva effettivamente essere qualificata come troppo severa nel caso di specie. Già solo a causa della doppia riduzione del grado di occupazione e di rendimento (v. sopra, Fatti ad A), si sarebbe in effetti giustificata una deduzione di queste proporzioni (cfr. ISS 2006, pag. 16 Tabella T 2*; v. inoltre sentenze 9C_721/2008 del 14 ottobre 2008 consid. 1.3 e 1.4; SVR 2011 IV n. 31 pag. 90 [9C_728/2009] consid. 4.3.2; 2010 IV n. 28 pag. 87 [9C_708/2009] consid. 2.6; Plädoyer 2008/1 pag. 69 [I 793/06] consid. 2.4). Inoltre, nel ritenere il tasso di riduzione del 20% i primi giudici si sono espressamente richiamati a una sentenza del Tribunale federale delle assicurazioni (I 870/05) del 2 maggio 2007. Il che rafforza la validità della soluzione dell'istanza precedente e questo anche senza prendere in considerazione l'eventualità di una ulteriore deduzione (ancorché minima: v. pronuncia impugnata pag. 15) per gap salariale ( DTF 135 V 297 ; 134 V 322 consid. 4 pag. 325). In tali condizioni, il Tribunale amministrativo federale non si è reso responsabile di un esercizio abusivo o eccessivo del proprio potere di apprezzamento e non ha dunque violato il diritto federale.</w:t>
      </w:r>
    </w:p>
    <w:p>
      <w:r>
        <w:rPr>
          <w:b/>
        </w:rPr>
        <w:t>E. 3</w:t>
      </w:r>
    </w:p>
    <w:p>
      <w:r>
        <w:t>Le spese seguono la soccombenza e sono poste a carico del ricorrente ( art. 66 cpv. 1 LTF ). Per contro non si attribuiscono ripetibili di ultima istanza federale, ritenuto che l'assicurato non è stato invitato a esprimersi ( art. 68 cpv. 1 e 2 LTF ). L'emanazione del presente giudizio rende priva d'oggetto la domanda di conferimento dell'effetto sospensivo formulata dall'UAIE.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