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9C_273/2009 vom 14. September 2009</w:t>
      </w:r>
    </w:p>
    <w:p>
      <w:r>
        <w:t>Bundesgericht, 2009-09-14, DE</w:t>
      </w:r>
    </w:p>
    <w:p>
      <w:r>
        <w:rPr>
          <w:b/>
        </w:rPr>
        <w:t xml:space="preserve">Quelle: </w:t>
      </w:r>
      <w:r>
        <w:t>https://mcp.opencaselaw.ch/entscheid/bger_9C_273_2009</w:t>
      </w:r>
    </w:p>
    <w:p>
      <w:r>
        <w:t>FR: TF 9C_273/2009 du 14 septembre 2009</w:t>
      </w:r>
    </w:p>
    <w:p>
      <w:r>
        <w:t>IT: TF 9C_273/2009 del 14 settembre 2009</w:t>
      </w:r>
    </w:p>
    <w:p>
      <w:pPr>
        <w:pStyle w:val="Heading2"/>
      </w:pPr>
      <w:r>
        <w:t>Erwägungen</w:t>
      </w:r>
    </w:p>
    <w:p>
      <w:r>
        <w:rPr>
          <w:b/>
        </w:rPr>
        <w:t>E. 1.1</w:t>
      </w:r>
    </w:p>
    <w:p>
      <w:r>
        <w:t>Die Beschwerde in öffentlich-rechtlichen Angelegenheiten ist vorab zulässig gegen Endentscheide, welche das Verfahren abschliessen ( Art. 90 BGG ), und gegen Teilentscheide im Sinne von Art. 91 BGG ). Zwischenentscheide sind - abgesehen von den Entscheiden über die Zuständigkeit und über Ausstandsbegehren (vgl. Art. 92 BGG ) - nur dann (ausnahmsweise) selbständig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1.2</w:t>
      </w:r>
    </w:p>
    <w:p>
      <w:r>
        <w:t>Gegen selbständig eröffnete Vor- und Zwischenentscheide über die Zuständigkeit und über Ausstandsbegehren ist die Beschwerde zulässig. Diese Entscheide können später nicht mehr angefochten werden ( Art. 92 Abs. 1-2 BGG ). Ablehnungs- und Ausstandsgründe gegen Gerichtsexperten sind sofort nach deren Bekanntwerden geltend zu machen. Hat es eine Partei versäumt, im kantonalen Verfahren rechtzeitig die Abberufung einer sachverständigen Person zu beantragen, können angebliche Ausstandsgründe nicht mehr später im Beschwerdeverfahren vor Bundesgericht geltend gemacht werden ( BGE 132 II 485 E. 4.3 S. 496 ; 121 I 225 E. 3 S. 229).</w:t>
      </w:r>
    </w:p>
    <w:p>
      <w:r>
        <w:rPr>
          <w:b/>
        </w:rPr>
        <w:t>E. 2</w:t>
      </w:r>
    </w:p>
    <w:p>
      <w:r>
        <w:t>Die Vorinstanz hat dem Schreiben der IV-Stelle vom 22. Januar 2009 zu Recht den Charakter einer Zwischenverfügung beigemessen und die Eingabe der Versicherten vom 6. Februar 2009 als Beschwerde beurteilt, weil die IV-Stelle jedenfalls zum Erlass einer Verfügung verpflichtet gewesen wäre. Dies gilt jedoch entgegen der Auffassung des kantonalen Gerichts auch dann, wenn materielle Befangenheitsgründe vorgebracht werden (vgl. Urteil 9C_199/2009 vom 9. Juni 2009, E. 4.1).</w:t>
      </w:r>
    </w:p>
    <w:p>
      <w:r>
        <w:rPr>
          <w:b/>
        </w:rPr>
        <w:t>E. 3</w:t>
      </w:r>
    </w:p>
    <w:p>
      <w:r>
        <w:t>Streitig und als Rechtsfrage frei zu prüfen (Urteile 8C_802/2007 vom 5. Mai 2008, E. 4 in fine, mit Hinweis auf 9C_846/2007 vom 11. März 2008) ist einzig, ob ein Befangenheitsgrund der ZVMB GmbH oder des Dr. med. R.________ gemäss Art. 36 Abs. 1 ATSG vorliegt.</w:t>
      </w:r>
    </w:p>
    <w:p>
      <w:r>
        <w:rPr>
          <w:b/>
        </w:rPr>
        <w:t>E. 3.1</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S. 346 ; 129 I 49 E. 4 S. 57 f.; 118 Ia 144 E. 1c S. 146 f.). Welche Art von Gutachten anzuordnen ist (Zweitgutachten [Obergutachten] oder Ergänzungsgutachten), ist eine Ermessensfrage (Urteil 6B_283/2007 vom 5. Oktober 2007, E. 2).</w:t>
      </w:r>
    </w:p>
    <w:p>
      <w:r>
        <w:rPr>
          <w:b/>
        </w:rPr>
        <w:t>E. 3.2</w:t>
      </w:r>
    </w:p>
    <w:p>
      <w:r>
        <w:t>Ergänzende Gutachten sind einzuholen, wenn die Würdigung des bereits erstatteten Gutachtens ergeben hat, dass einzelne der behandelten Punkte einer erneuten sachverständigen Stellungnahme bedürfen oder wenn bestimmte Fragen ausserhalb des gutachterlich bereits abgehandelten Bereichs abzuklären sind (UELI KIESER, Die rechtliche Würdigung von medizinischen Gutachten, in: René Schaffhauser/Franz Schlauri [Hrsg.], Rechtsfragen der medizinischen Begutachtung in der Sozialversicherung, St. Gallen 1997, S. 157 f.). Nach der Rechtsprechung ist grundsätzlich nichts dagegen einzuwenden, dass ein Gutachter seine Feststellungen im späteren Verfahren ergänzt oder im Lichte neuer Tatsachen oder erhobener Einwendungen prüft, soweit dabei das bereits erstattete Gutachten zum Ausgangspunkt der weiteren Untersuchungen und Ausführungen gemacht wird (RKUV 1985 Nr. K 646 S. 235, E. 5b). Ein Zweitgutachten steht im Vordergrund, wenn das Gericht ein bestehendes Gutachten für klar unzureichend und kaum verwertbar erachtet (Urteil 6B_283/2007 vom 5. Oktober 2007, E. 2) oder wenn es die Würdigung der vorhandenen, gegensätzlich lautenden gutachterlichen Stellungnahmen nicht erlaubt, auf eine derselben abzustellen, weil die Kenntnis fehlt, eine der beiden vertretenen Auffassungen als schlüssig und nachvollziehbar zu bezeichnen (UELI KIESER, a.a.O., S. 158 f.; SVR IV Nr. 16 S. 41, 8C_89/2007).</w:t>
      </w:r>
    </w:p>
    <w:p>
      <w:r>
        <w:rPr>
          <w:b/>
        </w:rPr>
        <w:t>E. 3.3</w:t>
      </w:r>
    </w:p>
    <w:p>
      <w:r>
        <w:t>Nach der in Art. 30 Abs. 1 BV enthaltenen Garantie des verfassungsmässigen Richters hat der Einzelne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Für Sachverständige gelten grundsätzlich die gleichen Ausstands- und Ablehnungsgründe, wie sie für den Richter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(Urteil 8C_615/2008 vom 15. September 2008).</w:t>
      </w:r>
    </w:p>
    <w:p>
      <w:r>
        <w:rPr>
          <w:b/>
        </w:rPr>
        <w:t>E. 3.4</w:t>
      </w:r>
    </w:p>
    <w:p>
      <w:r>
        <w:t>Vorbefassung begründet nicht zwingend den Anschein der Befangenheit. Nach der Rechtsprechung kann ein Sachverständiger nicht allein deshalb abgelehnt werden, weil er den Exploranden schon früher einmal begutachtet hat ( BGE 132 V 93 E. 7.2.2 S. 110). Als massgebendes Kriterium für die Beurteilung dieser Frage im Einzelfall hielt das Bundesgericht fest, es sei generell zu fordern, dass das Verfahren in Bezug auf den konkreten Sachverhalt und die konkret zu entscheidenden Rechtsfragen trotz der Vorbefassung als offen erscheine und nicht der Anschein der Vorbestimmtheit erweckt werde ( BGE 117 Ia 182 E. 3b S. 184 mit Hinweis). Es ist somit danach zu fragen, ob das Ergebnis der Begutachtung nach wie vor als offen und nicht vorbestimmt erscheint. Kann die Offenheit bejaht werden, ist die Besorgnis der Voreingenommenheit trotz Vorbefassung unbegründet (REGINA KIENER/MELANIE KRÜSI, Die Unabhängigkeit von Gerichtssachverständigen, in: ZSR 2006 S. 506).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 2A.259/1998 vom 30. November 1998, Urteil 8C_89/2007 vom 20. August 2008).</w:t>
      </w:r>
    </w:p>
    <w:p>
      <w:r>
        <w:rPr>
          <w:b/>
        </w:rPr>
        <w:t>E. 4.1</w:t>
      </w:r>
    </w:p>
    <w:p>
      <w:r>
        <w:t>Die Beschwerdeführerin macht geltend, ihre gesundheitliche Situation habe sich nicht verändert. Es wecke schwere Bedenken, wenn beim interdisziplinären Gutachten der MEDAS keine Beeinträchtigung festgestellt worden sei, obwohl kurze Zeit später in einer ebenfalls von der IV-Stelle beauftragten Stelle (BEFAS) auf Grund längerer persönlicher Beobachtungen in der Erprobung der Arbeitsfähigkeit eine gesundheitliche Beeinträchtigung in Form eines Anfallleidens festgestellt worden sei, die zur vollständigen Arbeitsunfähigkeit geführt habe; ein Anfallleiden, das in der Zwischenzeit von einer weiteren qualifizierten Neurologin Dr. med. W.________, bestätigt worden sei. Wenn zwei Abklärungen, welche beide durch die IV-Stelle veranlasst wurden, innerhalb von kurzer Zeit zu völlig anderen Ergebnissen kämen, so wecke dies erhebliche Zweifel an der Unvoreingenommenheit des in Frage stehenden Gutachters und der Gutachterstelle als solcher. Es sei nahezu ausgeschlossen, dass die MEDAS heute unbefangen begutachten und zu einem anderen Schluss kommen werde als bei der Verfassung des interdisziplinären Gutachtens vom 6. November 2006. Da sich die diagnostischen Grundlagen nicht verändert hätten, müsste die MEDAS implizit zugeben, dass man sich bei der letzten Beurteilung massiv getäuscht habe. Es könne offensichtlich nicht sein, dass die MEDAS der Beschwerdeführerin vollständige Arbeitsfähigkeit in ihrem angestammten Beruf als Puppenmacherin attestiere, wogegen die Beurteilung der BEFAS zum Schluss komme, die berufliche Eingliederung der Versicherten sei nicht mehr möglich. Damit bestehe der objektive Anschein der Befangenheit und der Voreingenommenheit, da mit grosser Wahrscheinlichkeit bereits im Voraus feststeht, dass die MEDAS bei ihrer ursprünglichen Diagnose bleiben werde, um nicht eingestehen zu müssen, dass man sich bei der ursprünglichen Beurteilung massiv getäuscht habe.</w:t>
      </w:r>
    </w:p>
    <w:p>
      <w:r>
        <w:rPr>
          <w:b/>
        </w:rPr>
        <w:t>E. 4.2</w:t>
      </w:r>
    </w:p>
    <w:p>
      <w:r>
        <w:t>Zunächst ist festzuhalten, dass eine Vorbefassung allein nicht zwingend den Anschein von Befangenheit zu begründen vermag (vgl. E. 3.4 hievor). Ebenso wenig genügt es entgegen der offenbaren Auffassung der Beschwerdeführerin für den Anschein der Voreingenommenheit, wenn sich zwei gegensätzliche Beurteilungen gegenüber stehen. Vielmehr ist im Rahmen der Vorbefassung von Sachverständigen erforderlich, dass zusätzliche Umstände vorliegen, welche den Ausgang der Expertise nicht mehr als offen erscheinen lassen.</w:t>
      </w:r>
    </w:p>
    <w:p>
      <w:r>
        <w:rPr>
          <w:b/>
        </w:rPr>
        <w:t>E. 4.3</w:t>
      </w:r>
    </w:p>
    <w:p>
      <w:r>
        <w:t>Dass das Verhalten der Gutachter anlässlich der ersten Untersuchung zu Beanstandungen Anlass gab, welche den Anschein der Befangenheit wecken könnten oder die Experten es hierbei sonstwie an der notwendigen Objektivität und Sachlichkeit mangeln liessen, kann nicht gesagt werden, noch wird solches geltend gemacht. Auch die Schlüssigkeit des Gutachtens des ZVMB vom 6. November 2006 an sich lässt sich nicht in Frage stellen. Vielmehr legten die Gutachter einlässlich dar, dass die von der Versicherten angegebenen Konzentrations- und Gedächtnisprobleme sowie die feinmotorischen Schwierigkeiten anlässlich ausführlicher Testuntersuchungen nicht objektiviert werden konnten. Sie zeigten auch nachvollziehbar auf, weshalb bezüglich des Anfallsleidens nur noch von Gelegenheitsanfällen gesprochen werden könne, die keine Bedeutung für das Leistungsvermögen im Berufsleben hätten, zumal die Ätiologie der Anfälle nie habe geklärt werden können und immer wieder normale EEG-Befunde vorliegen würden.</w:t>
      </w:r>
    </w:p>
    <w:p>
      <w:r>
        <w:t>Knapp ein Jahr nach der MEDAS-Expertise kam die BEFAS im Bericht vom 15. Oktober 2007 zum Schluss, bei der Versicherten liege ein Anfallsleiden vor, das am wahrscheinlichsten psychogener Art sei. Zusätzlich erklärten Arbeitsentwöhnung und Dekonditionierung ihre Verlangsamung, schnelle Ermüdung und reduzierte Belastbarkeit. Alle diese Symptome und Wortfindungsstörungen würden durch die Einnahme von Lamiktal, Topamax und Temesta noch verstärkt. Dass sich die Versicherte unfähig fühle, wieder Puppen herzustellen, habe zusätzlich einen Zusammenhang mit ihrem Perfektionismus. Ob ein invalidisierendes psychisches Leiden vorliege, müsse durch ein psychiatrisches Gutachten eruiert werden, wenn nötig unter stationären Bedingungen. Im interdisziplinären Gutachten habe der Psychiater einzig festgehalten, bei Fragen zum psychischen Themenkreis habe sich die Versicherte verhalten gegeben.</w:t>
      </w:r>
    </w:p>
    <w:p>
      <w:r>
        <w:t>Wenn der Regionale Ärztliche Dienst, RAD, gestützt darauf und die in der Folge beigezogenen Verlaufsberichte des Dr. med. B.________ vom 8. September 2008 und der Frau Dr. med. W.________ vom 10. September 2008 (welche beide die von ihnen attestierte vollständige Arbeitsunfähigkeit in erster Linie mit der erheblich eingeschränkten psycho-physischen Belastbarkeit, die sich auch in der Zunahme der zum Teil psychogenen Anfallsereignisse zeige, begründeten) ein interdisziplinäres Verlaufsgutachten bei der ZVMB vorschlug, so geht es nach dem Gesagten nicht darum, angesichts eines unzureichenden und kaum verwertbaren Erstgutachtens eine Zweitexpertise durchzuführen (vgl. E. 3.2 hievor). Es kann auch nicht gesagt werden, dass sich zwei diametral gegensätzliche Gutachten gegenüber stehen, nachdem die Diskrepanz letztlich darin besteht, dass die MEDAS die Beschwerden nicht als invalidisierendes Leiden qualifiziert, während sich Hausarzt und Neurologin nicht weiter zu dieser Frage geäussert haben und die BEFAS diesbezüglich eine ergänzende Begutachtung fordert. Vielmehr ist entscheidwesentlich, dass es sich vorliegend um die Prüfung des Leistungsanspruchs im Rahmen einer Neuanmeldung handelt und deshalb zu untersuchen ist, ob sich der Zustand der Versicherten seit der letzten (rentenaufhebenden) Verfügung massgeblich verschlechtert hat. Der RAD führte denn auch aus, es lägen neue Diagnosen vor, deren Auswirkungen auf die Arbeitsfähigkeit auf Grund der vorliegenden Unterlagen nicht geklärt sei und sprach ausdrücklich von einem Verlaufsgutachten. Für diese weiterführende Begutachtung und die Auseinandersetzung mit zusätzlichen, in der Zwischenzeit erhobenen Einschätzungen der Arbeitsunfähigkeit der Versicherten ist die ursprüngliche Begutachtungsstelle prädestiniert. Inwieweit nach erfolgter erneuter Expertise an der ursprünglichen Einschätzung des ZVMB-Gutachtens vom 6. November 2006 festgehalten werden kann oder sich seit der Neuanmeldung eine neue Beurteilung der verwertbaren Arbeitsunfähigkeit ergibt, ist eine Frage der Beweiswürdigung, welche nicht hier im Rahmen der Befangenheitsprüfung, sondern im Hauptverfahren zu klären ist. In diesem Zusammenhang erweisen sich überdies die Vorbringen der Beschwerdeführerin, wonach sich ihre gesundheitliche Situation und die diagnostischen Grundlagen nicht verändert hätten, als widersprüchlich, wenn sie selbst eine Neuanmeldung geltend macht, welche eine Verschlechterung des Gesundheitszustandes voraussetzt.</w:t>
      </w:r>
    </w:p>
    <w:p>
      <w:r>
        <w:rPr>
          <w:b/>
        </w:rPr>
        <w:t>E. 4.4</w:t>
      </w:r>
    </w:p>
    <w:p>
      <w:r>
        <w:t>Schliesslich ist auch nicht ersichtlich, weshalb die gesamte MEDAS auf Grund der Gutachtertätigkeit des Dr. phil. S.________ für den beim Verkehrsunfall involvierten Haftpflichtversicherer befangen sein soll, zumal Dr. S.________ bei der erneuten Begutachtung ebenso wie schon bei der erfolgten Expertise nicht als Gutachter vorgesehen war.</w:t>
      </w:r>
    </w:p>
    <w:p>
      <w:r>
        <w:rPr>
          <w:b/>
        </w:rPr>
        <w:t>E. 4.5</w:t>
      </w:r>
    </w:p>
    <w:p>
      <w:r>
        <w:t>Zusammenfassend mangelt es an Anhaltspunkten, dass die ZVMB GmbH oder die für die erneute Expertise vorgesehenen Gutachter gegenüber der Versicherten nicht unabhängig im Rechtssinn wären. Die Beschwerde ist unbegründet.</w:t>
      </w:r>
    </w:p>
    <w:p>
      <w:r>
        <w:rPr>
          <w:b/>
        </w:rPr>
        <w:t>E. 5</w:t>
      </w:r>
    </w:p>
    <w:p>
      <w:r>
        <w:t>Die Beschwerdeführerin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