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9C_272/2026 vom 7. Mai 2026</w:t>
      </w:r>
    </w:p>
    <w:p>
      <w:r>
        <w:t>Bundesgericht, 2026-05-07, DE</w:t>
      </w:r>
    </w:p>
    <w:p>
      <w:r>
        <w:rPr>
          <w:b/>
        </w:rPr>
        <w:t xml:space="preserve">Quelle: </w:t>
      </w:r>
      <w:r>
        <w:t>https://mcp.opencaselaw.ch/entscheid/bger_9C_272_2026</w:t>
      </w:r>
    </w:p>
    <w:p>
      <w:r>
        <w:t>FR: TF 9C_272/2026 du 7 mai 2026</w:t>
      </w:r>
    </w:p>
    <w:p>
      <w:r>
        <w:t>IT: TF 9C_272/2026 del 7 maggio 2026</w:t>
      </w:r>
    </w:p>
    <w:p>
      <w:pPr>
        <w:pStyle w:val="Heading2"/>
      </w:pPr>
      <w:r>
        <w:t>Volltext</w:t>
      </w:r>
    </w:p>
    <w:p>
      <w:r>
        <w:t>Bundesgericht</w:t>
      </w:r>
    </w:p>
    <w:p>
      <w:r>
        <w:t>Tribunal fédéral</w:t>
      </w:r>
    </w:p>
    <w:p>
      <w:r>
        <w:t>Tribunale federale</w:t>
      </w:r>
    </w:p>
    <w:p>
      <w:r>
        <w:t>Tribunal federal</w:t>
      </w:r>
    </w:p>
    <w:p>
      <w:r>
        <w:t>9C_272/2026</w:t>
      </w:r>
    </w:p>
    <w:p>
      <w:r>
        <w:t>Urteil vom 7. Mai 2026</w:t>
      </w:r>
    </w:p>
    <w:p>
      <w:r>
        <w:t>III. öffentlich-rechtliche Abteilung</w:t>
      </w:r>
    </w:p>
    <w:p>
      <w:r>
        <w:t>Besetzung</w:t>
      </w:r>
    </w:p>
    <w:p>
      <w:r>
        <w:t>Bundesrichterin Moser-Szeless, Präsidentin,</w:t>
      </w:r>
    </w:p>
    <w:p>
      <w:r>
        <w:t>Gerichtsschreiber Williner.</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das Urteil des Bundesverwaltungsgerichts vom 27. Februar 2026 (C-8874/2025).</w:t>
      </w:r>
    </w:p>
    <w:p>
      <w:r>
        <w:t>Nach Einsicht</w:t>
      </w:r>
    </w:p>
    <w:p>
      <w:r>
        <w:t>in die Beschwerde vom 30. März 2026 (Poststempel) gegen das Urteil des Bundesverwaltungsgerichts vom 27. Februar 2026, mit welchem auf die Beschwerde des A.________ nicht eingetreten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 BGE 140 III 264 E. 2.3),</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Beschwerde diesen inhaltlichen Mindestanforderungen nicht genügt, da sie weder Ausführungen zu der Eintretensfrage noch dazu enthält, inwiefern die Sachverhaltsfeststellung im Sinne von Art. 97 Abs. 1 BGG - soweit überhaupt beanstandet - unzutreffend und die darauf beruhenden Erwägungen rechtsfehlerhaft sein sollen,</w:t>
      </w:r>
    </w:p>
    <w:p>
      <w:r>
        <w:t>dass dies insbesondere der Fall ist in Bezug auf die vorinstanzlichen Erwägungen, wonach sich der Eingabe vom 19. November 2025 weder ein klarer Anfechtungswille noch ein eindeutiges Rechtsbegehren (mit einschlägiger Begründung) habe entnehmen lassen und der Beschwerdeführer die ihm mit Zwischenverfügung vom 26. Januar 2026 angesetzte Frist zur Verbesserung seiner Eingabe ungenutzt habe verstreichen lassen,</w:t>
      </w:r>
    </w:p>
    <w:p>
      <w:r>
        <w:t>dass sich das stattdessen vom Beschwerdeführer Vorgebrachte, soweit überhaupt sachbezogen, darauf beschränkt, die eigene Sichtweise wiederzugeben sowie rein appellatorische Kritik zu üben, was nach dem Dargelegten nicht ausreicht,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7. Mai 2026</w:t>
      </w:r>
    </w:p>
    <w:p>
      <w:r>
        <w:t>Im Namen der III. öffentlich-rechtlichen Abteilung</w:t>
      </w:r>
    </w:p>
    <w:p>
      <w:r>
        <w:t>des Schweizerischen Bundesgerichts</w:t>
      </w:r>
    </w:p>
    <w:p>
      <w:r>
        <w:t>Die Präsidentin: Moser-Szeless</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