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9C_272/2011 vom 6. Dezember 2011</w:t>
      </w:r>
    </w:p>
    <w:p>
      <w:r>
        <w:t>Bundesgericht, 2011-12-06, FR</w:t>
      </w:r>
    </w:p>
    <w:p>
      <w:r>
        <w:rPr>
          <w:b/>
        </w:rPr>
        <w:t xml:space="preserve">Quelle: </w:t>
      </w:r>
      <w:r>
        <w:t>https://mcp.opencaselaw.ch/entscheid/bger_9C_272_2011</w:t>
      </w:r>
    </w:p>
    <w:p>
      <w:r>
        <w:t>FR: TF 9C_272/2011 du 6 décembre 2011</w:t>
      </w:r>
    </w:p>
    <w:p>
      <w:r>
        <w:t>IT: TF 9C_272/2011 del 6 dicembre 2011</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jugement entrepris expose correctement les règles légales et la jurisprudence applicables au présent litige, qui porte sur le droit de la recourante à une rente d'invalidité à partir du mois de mars 2007. Il suffit d'y renvoyer.</w:t>
      </w:r>
    </w:p>
    <w:p>
      <w:r>
        <w:rPr>
          <w:b/>
        </w:rPr>
        <w:t>E. 3</w:t>
      </w:r>
    </w:p>
    <w:p>
      <w:r>
        <w:t>La recourante soutient que son droit d'être entendue ( art. 29 al. 2 Cst. ) a été violé, parce que la juridiction cantonale a refusé de procéder à l'audition de ses médecins traitants et de mettre en oeuvre une expertise médicale, mesures qu'elle avait requises dans son recours.</w:t>
      </w:r>
    </w:p>
    <w:p>
      <w:r>
        <w:rPr>
          <w:b/>
        </w:rPr>
        <w:t>E. 3.1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 art. 29 al. 2 Cst. (SVR 2001 IV n° 10 p. 28 consid. 4b; cf. ATF 124 V 90 consid. 4b p. 94; 122 V 157 consid. 1d p. 162 et l'arrêt cité).</w:t>
      </w:r>
    </w:p>
    <w:p>
      <w:r>
        <w:t>Le Tribunal fédéral n'examine le résultat de l'appréciation des preuves à laquelle a procédé l'autorité cantonale de recours que sous l'angle restreint de l'arbitraire. Il en va de même du refus de l'instance précédente de compléter l'instruction par une nouvelle expertise sur la base d'une appréciation anticipée des preuves, lorsque le recourant soulève le grief de violation du droit d'être entendu. L'appréciation (anticipée) des preuves doit être arbitraire non seulement en ce qui concerne les motifs invoqués par la juridiction cantonale pour écarter un moyen de preuve, mais également dans son résultat (cf. ATF 135 V 2 consid. 1.3 p. 4 sv.).</w:t>
      </w:r>
    </w:p>
    <w:p>
      <w:r>
        <w:rPr>
          <w:b/>
        </w:rPr>
        <w:t>E. 3.2</w:t>
      </w:r>
    </w:p>
    <w:p>
      <w:r>
        <w:t>La recourante n'apporte aucun argument qui permettrait de remettre en cause l'appréciation des preuves à laquelle a procédé la juridiction cantonale, qui a fait siennes les conclusions des médecins du SMR et constaté que l'assurée disposait d'une capacité de travail entière tant dans son activité habituelle que dans une activité adaptée.</w:t>
      </w:r>
    </w:p>
    <w:p>
      <w:r>
        <w:t>C'est en vain, tout d'abord, que la recourante invoque souffrir "d'affections connexes qui sont de nature à faire passer la fibromyalgie au second plan" et sur lesquelles aurait dû porter le complément d'instruction sollicité. La symptomatologie qu'elle mentionne en se fondant sur le rapport du docteur E.________, spécialiste en psychiatrie et psychothérapie d'enfants et d'adolescents, du 19 juin 2007 (état dépressif important avec manque de concentration, vertiges, céphalées, insomnies et fatigue constante) a été prise en compte par les docteurs P.________ et L.________ dans leur appréciation. Faisant également état des plaintes de l'assurée à cet égard (douleurs musculaires et articulaires et troubles du sommeil depuis de nombreuses années), les médecins du SMR ont cependant exclu le diagnostic de trouble dépressif récurrent, léger ou moyen, en retenant celui de dysthymie et ont conclu à l'absence de limitations fonctionnelles psychiatriques et somatiques, en précisant que la fibromyalgie ne reposait sur aucun "soubassement anatomo-pathologique" et revêtait un "caractère exclusivement subjectif". Dès lors qu'ils n'ont pas ignoré les éléments attestés par son médecin traitant, leur évaluation n'est nullement lacunaire, quoi qu'en dise la recourante.</w:t>
      </w:r>
    </w:p>
    <w:p>
      <w:r>
        <w:t>Quant aux rapports du Service de neuropsychiatrie, laboratoire du sommeil, de l'Hôpital Y.________ auquel se réfère par ailleurs la recourante, ils ne sont pas non plus susceptibles de faire apparaître l'appréciation anticipée des preuves de la juridiction cantonale comme arbitraire. Les investigations menées par le docteur I.________, spécialiste en neurologie, qui, dans son premier rapport du 9 mars 2009, avait fait état d'une somnolence diurne importante, ont mis en évidence un syndrome d'apnées du sommeil à caractère moyen qui pouvait être traité (rapport du 16 avril 2009). Dans son second avis, le médecin, qui encourageait fortement la patiente à mettre en place une hygiène du sommeil stricte avec des heures de lever régulières et non tardives, n'a fait aucune constatation médicale au sujet d'une éventuelle incapacité de travail qui aurait résulté du diagnostic posé, de sorte que la juridiction cantonale n'avait pas à instruire ce point plus avant, que ce soit en entendant le docteur I.________ ou en ordonnant une expertise. Enfin, les seules allégations de la recourante selon lesquelles elle serait actuellement incapable d'exécuter une quelconque activité professionnelle - comme il ressortirait selon elle des pièces du dossier - ne suffisent manifestement pas à mettre en doute les conclusions du SMR, ni à fonder une prétendue incapacité de gain d'au moins 70 %.</w:t>
      </w:r>
    </w:p>
    <w:p>
      <w:r>
        <w:rPr>
          <w:b/>
        </w:rPr>
        <w:t>E. 3.3</w:t>
      </w:r>
    </w:p>
    <w:p>
      <w:r>
        <w:t>Il suit de ce qui précède que la juridiction cantonale pouvait, sans tomber dans l'arbitraire, renoncer à entendre les médecins traitants de l'assurée, voire à ordonner une nouvelle expertise médicale et choisir de s'en tenir à l'évaluation des médecins du SMR. Le recours se révèle par conséquent mal fondé.</w:t>
      </w:r>
    </w:p>
    <w:p>
      <w:r>
        <w:rPr>
          <w:b/>
        </w:rPr>
        <w:t>E. 4</w:t>
      </w:r>
    </w:p>
    <w:p>
      <w:r>
        <w:t>Vu l'issue de la procédure,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