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9C_271/2019 vom 13. Mai 2019</w:t>
      </w:r>
    </w:p>
    <w:p>
      <w:r>
        <w:t>Bundesgericht, 2019-05-13, DE</w:t>
      </w:r>
    </w:p>
    <w:p>
      <w:r>
        <w:rPr>
          <w:b/>
        </w:rPr>
        <w:t xml:space="preserve">Quelle: </w:t>
      </w:r>
      <w:r>
        <w:t>https://mcp.opencaselaw.ch/entscheid/bger_9C_271_2019</w:t>
      </w:r>
    </w:p>
    <w:p>
      <w:r>
        <w:t>FR: TF 9C_271/2019 du 13 mai 2019</w:t>
      </w:r>
    </w:p>
    <w:p>
      <w:r>
        <w:t>IT: TF 9C_271/2019 del 13 maggio 2019</w:t>
      </w:r>
    </w:p>
    <w:p>
      <w:pPr>
        <w:pStyle w:val="Heading2"/>
      </w:pPr>
      <w:r>
        <w:t>Volltext</w:t>
      </w:r>
    </w:p>
    <w:p>
      <w:r>
        <w:t>Bundesgericht</w:t>
      </w:r>
    </w:p>
    <w:p>
      <w:r>
        <w:t>Tribunal fédéral</w:t>
      </w:r>
    </w:p>
    <w:p>
      <w:r>
        <w:t>Tribunale federale</w:t>
      </w:r>
    </w:p>
    <w:p>
      <w:r>
        <w:t>Tribunal federal</w:t>
      </w:r>
    </w:p>
    <w:p>
      <w:r>
        <w:t>9C_271/2019</w:t>
      </w:r>
    </w:p>
    <w:p>
      <w:r>
        <w:t>Urteil vom 13. Mai 2019</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GastroSocial Ausgleichskasse,</w:t>
      </w:r>
    </w:p>
    <w:p>
      <w:r>
        <w:t>Buchserstrasse 1, 5001 Aarau,</w:t>
      </w:r>
    </w:p>
    <w:p>
      <w:r>
        <w:t>Beschwerdegegnerin.</w:t>
      </w:r>
    </w:p>
    <w:p>
      <w:r>
        <w:t>Gegenstand</w:t>
      </w:r>
    </w:p>
    <w:p>
      <w:r>
        <w:t>Alters- und Hinterlassenenversicherung,</w:t>
      </w:r>
    </w:p>
    <w:p>
      <w:r>
        <w:t>Beschwerde gegen den Entscheid des Verwaltungsgerichts des Kantons Bern vom 20. März 2019         (200 19 34 AHV).</w:t>
      </w:r>
    </w:p>
    <w:p>
      <w:r>
        <w:t>Nach Einsicht</w:t>
      </w:r>
    </w:p>
    <w:p>
      <w:r>
        <w:t>in die Beschwerde vom 23. April 2019 gegen den Entscheid des Verwaltungsgerichts des Kantons Bern vom 20. März 2019,</w:t>
      </w:r>
    </w:p>
    <w:p>
      <w:r>
        <w:t>in die Mitteilung des Bundesgerichts vom 26. April 2019 an A.________, worin (neben allgemeinen Ausführungen zur Möglichkeit einer anwaltlichen Vertretung und den Voraussetzungen einer unentgeltlichen Verbeiständung) auf die gesetzlichen Formerfordernisse von Beschwerden hinsichtlich Begehren und Begründung sowie auf die nur innert der Rechtsmittelfrist noch bestehende Verbesserungsmöglichkeit hingewiesen worden ist,</w:t>
      </w:r>
    </w:p>
    <w:p>
      <w:r>
        <w:t>in die daraufhin von A.________ am 6. Mai 2019 eingereichten Eingaben mit gleichem Wortlaut,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Eingaben des Beschwerdeführers diese inhaltlichen Mindestanforderungen offensichtlich nicht erfüllen, da sie zwar ein Rechtsbegehren enthalten, den Ausführungen aber nichts entnommen werden kann, was darauf hindeuten würde,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dies insbesondere der Fall ist in Bezug auf die vorinstanzlichen Erwägungen, wonach keine ernsthafte und längerdauernde Erkrankung des Beschwerdeführers erstellt sei, welche diesen in der Zeit bis Ende 2017 daran gehindert hätte, seinen ihm als Geschäftsführer obliegenden Pflichten nachzukommen und Massnahmen zur Bezahlung der ausstehenden Sozialversicherungsbeiträge einzuleiten,</w:t>
      </w:r>
    </w:p>
    <w:p>
      <w:r>
        <w:t>dass sich die wiederholten, gleichlautenden Vorbringen in den Eingaben des Beschwerdeführers, soweit verständlich und sachbezogen, darauf beschränken, die eigene Sichtweise wiederzugeben sowie rein appellatorische Kritik zu üben, was im bundesgerichtlichen Verfahren nicht ausreicht ( BGE 140 III 264 E. 2.3 S. 266 mit Hinweisen),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13. Mai 2019</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