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9C_271/2011 vom 26. Oktober 2011</w:t>
      </w:r>
    </w:p>
    <w:p>
      <w:r>
        <w:t>Bundesgericht, 2011-10-26, FR</w:t>
      </w:r>
    </w:p>
    <w:p>
      <w:r>
        <w:rPr>
          <w:b/>
        </w:rPr>
        <w:t xml:space="preserve">Quelle: </w:t>
      </w:r>
      <w:r>
        <w:t>https://mcp.opencaselaw.ch/entscheid/bger_9C_271_2011</w:t>
      </w:r>
    </w:p>
    <w:p>
      <w:r>
        <w:t>FR: TF 9C_271/2011 du 26 octobre 2011</w:t>
      </w:r>
    </w:p>
    <w:p>
      <w:r>
        <w:t>IT: TF 9C_271/2011 del 26 ottobre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considéré que l'intimée pouvait prétendre à l'octroi d'une demi-rente de l'assurance-invalidité, estimant que les avis des docteurs B.________ (du 2 juin 2009) et G.________ (du 12 juin 2009), selon lesquels l'intimée disposait d'une capacité résiduelle de travail de 50 %, emportaient la conviction sur celui du docteur S.________, qui retenait - sans motivation aucune - une capacité résiduelle de travail de 75 %.</w:t>
      </w:r>
    </w:p>
    <w:p>
      <w:r>
        <w:rPr>
          <w:b/>
        </w:rPr>
        <w:t>E. 2.2</w:t>
      </w:r>
    </w:p>
    <w:p>
      <w:r>
        <w:t>L'office recourant reproche à la juridiction cantonale d'avoir violé son droit d'être entendu et d'avoir procédé à une constatation manifestement inexacte des faits pertinents, consécutive à une mauvaise appréciation des preuves. En substance, il lui fait grief d'avoir écarté, sans véritable motivation, le rapport établi le 23 mars 2009 par le docteur S.________, qui remplissait l'ensemble des critères requis par la jurisprudence fédérale, au profit des avis des docteurs B.________ et G.________, qui n'étaient nullement convaincants. L'office recourant reproche également à la juridiction cantonale d'avoir méconnu le droit fédéral en fixant la naissance du droit à la rente au 25 septembre 2008, soit en violation de l' art. 29 LAI .</w:t>
      </w:r>
    </w:p>
    <w:p>
      <w:r>
        <w:rPr>
          <w:b/>
        </w:rPr>
        <w:t>E. 3</w:t>
      </w:r>
    </w:p>
    <w:p>
      <w:r>
        <w:t>Sur le plan formel, l'office recourant se plaint d'une violation de son droit d'être entendu pour défaut de motivation du jugement attaqué, en tant que celui-ci n'examinerait pas la valeur probante des avis émis par les docteurs B.________ et G.________ et n'expliquerait pas les raisons pour lesquelles ils semblaient plus convaincants que le rapport du docteur S.________.</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3.2</w:t>
      </w:r>
    </w:p>
    <w:p>
      <w:r>
        <w:t>En l'occurrence, si la motivation du jugement entrepris peut certes paraître succincte, elle permet néanmoins de comprendre les éléments qui ont été retenus et pourquoi ils l'ont été. On ne saurait dès lors reprocher à la juridiction cantonale d'avoir violé le droit d'être entendu de l'office recourant. En réalité, en tant que celui-ci reproche à la juridiction cantonale de n'avoir pas motivé son refus de ne pas tenir compte du rapport médical établi par le docteur S.________, le grief se confond avec celui d'arbitraire dans la constatation des faits et l'appréciation des preuves et sera examiné sous cet angle.</w:t>
      </w:r>
    </w:p>
    <w:p>
      <w:r>
        <w:rPr>
          <w:b/>
        </w:rPr>
        <w:t>E. 4.1</w:t>
      </w:r>
    </w:p>
    <w:p>
      <w:r>
        <w:t>Est seule litigieuse en l'espèce la question de la capacité de travail que l'on peut encore exiger de l'intimée. Alors que l'office recourant prétend, sur la base des conclusions du docteur S.________, que celle-ci est de 75 %, les premiers juges ont considéré, en se fondant sur les avis exprimés par les docteurs B.________ et G.________, qu'elle ne s'élevait qu'à 50 %.</w:t>
      </w:r>
    </w:p>
    <w:p>
      <w:r>
        <w:rPr>
          <w:b/>
        </w:rPr>
        <w:t>E. 4.1.1</w:t>
      </w:r>
    </w:p>
    <w:p>
      <w:r>
        <w:t>Les premiers juges ont écarté le rapport du docteur S.________, au motif que celui-ci n'expliquait pas les raisons pour lesquelles il se justifiait de retenir une capacité résiduelle de travail de 75 %. Contrairement à l'opinion de l'office recourant, cette constatation de fait n'apparaît pas manifestement inexacte. Quand bien même ce document repose sur une évaluation complète et détaillée de la situation de l'intimée, on peine en effet à établir, sur la base des explications données par le docteur S.________, un lien objectif entre les douleurs chroniques à l'origine de la diminution de la capacité de travail et le taux retenu en définitive.</w:t>
      </w:r>
    </w:p>
    <w:p>
      <w:r>
        <w:rPr>
          <w:b/>
        </w:rPr>
        <w:t>E. 4.1.2</w:t>
      </w:r>
    </w:p>
    <w:p>
      <w:r>
        <w:t>Les premiers juges ont au contraire suivi les conclusions concordantes des docteurs B.________ et G.________. Comme le met toutefois en évidence l'office recourant, les points de vue exprimés par ces médecins ne résultent pas d'une analyse complète et objective de la situation médicale, mais rapportent, de façon succincte et sans explication particulière, leur appréciation de la capacité résiduelle de travail de l'intimée; à cet égard, on peine à comprendre la raison pour laquelle les reproches adressés au rapport du docteur S.________ n'ont pas été étendus aux rapports des médecins traitants de l'intimée. A l'appui de leurs considérations, les premiers juges ont certes expliqué que la demande de prestations déposée le 25 septembre 2008 reposait sur des raisons médicales plutôt que sur des considérations d'ordre socio-économique et que les doutes quant au favoritisme dont auraient pu faire preuve les médecins traitants de l'intimée pouvaient, au vu des circonstances, être écartés. Cela étant, on perçoit, à la lecture de ces explications et des documents sur lesquelles elles reposent, que l'appréciation des premiers juges ne se fonde pas sur des critères médicaux objectifs, mais est guidée par des considérations autres que d'ordre médical, dépourvues de pertinence quant à la question de la capacité résiduelle de travail.</w:t>
      </w:r>
    </w:p>
    <w:p>
      <w:r>
        <w:rPr>
          <w:b/>
        </w:rPr>
        <w:t>E. 4.2</w:t>
      </w:r>
    </w:p>
    <w:p>
      <w:r>
        <w:t>Compte tenu des difficultés, en matière de preuve, à établir l'existence de douleurs (en l'absence d'observation médicale concluante sur le plan somatique ou psychiatrique), les plaintes subjectives d'un 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 ATF 130 V 352 consid. 2.2.2 p. 353; arrêt I 382/00 du 9 octobre 2001, consid. 2b). Force est d'admettre en l'espèce que les rapports médicaux versés au dossier ne permettent pas de fournir une explication claire et objective sur l'origine et l'importance des douleurs alléguées par l'intimée. Eu égard au caractère lacunaire des informations médicales à disposition, il convient de renvoyer la cause à la juridiction cantonale, afin qu'elle procède à un complément d'instruction sous la forme d'une expertise judiciaire et statue à nouveau.</w:t>
      </w:r>
    </w:p>
    <w:p>
      <w:r>
        <w:rPr>
          <w:b/>
        </w:rPr>
        <w:t>E. 5</w:t>
      </w:r>
    </w:p>
    <w:p>
      <w:r>
        <w:t>Il convient, à toutes fins utiles, d'apporter encore les précisions suivantes. En fixant en l'espèce la naissance du droit à la rente au jour du dépôt de la demande de prestations, la juridiction cantonale a clairement violé le droit fédéral. En effet, d'après l' art. 29 al. 1 LAI (dans sa teneur en vigueur depuis le 1er janvier 2008), le droit à une rente de l'assurance-invalidité ne prend naissance au plus tôt qu'à l'échéance d'une période de six mois à compter de la date à laquelle l'assuré a fait valoir son droit aux prestations conformément à l' art. 29 al. 1 LPGA , mais pas avant le mois qui suit le 18e anniversaire de l'assuré. Il appartiendra à la juridiction cantonale de tenir compte de ce qui précède au moment de statuer à nouveau sur le droit aux prestations de l'intimée.</w:t>
      </w:r>
    </w:p>
    <w:p>
      <w:r>
        <w:rPr>
          <w:b/>
        </w:rPr>
        <w:t>E. 6</w:t>
      </w:r>
    </w:p>
    <w:p>
      <w:r>
        <w:t>Sur le vu de ce qui précède, il n'y a pas lieu d'examiner dans le cadre de la présente procédure le grief soulevé par l'office recourant à l'égard du montant des dépens alloués à l'intimée en procédure cantonale.</w:t>
      </w:r>
    </w:p>
    <w:p>
      <w:r>
        <w:rPr>
          <w:b/>
        </w:rPr>
        <w:t>E. 7</w:t>
      </w:r>
    </w:p>
    <w:p>
      <w:r>
        <w:t>Les frais afférents à la présente procédure seront supportés par l'intimée qui succombe ( art. 66 al. 1 LTF ). Elle a cependant déposé une demande d'assistance judiciaire visant à la dispense des frais judiciaires et à la désignation d'un avocat d'office. Les conditions d'octroi étant visiblement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