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9C_270/2012 vom 23. Mai 2012</w:t>
      </w:r>
    </w:p>
    <w:p>
      <w:r>
        <w:t>Bundesgericht, 2012-05-23, DE</w:t>
      </w:r>
    </w:p>
    <w:p>
      <w:r>
        <w:rPr>
          <w:b/>
        </w:rPr>
        <w:t xml:space="preserve">Quelle: </w:t>
      </w:r>
      <w:r>
        <w:t>https://mcp.opencaselaw.ch/entscheid/bger_9C_270_2012</w:t>
      </w:r>
    </w:p>
    <w:p>
      <w:r>
        <w:t>FR: TF 9C_270/2012 du 23 mai 2012</w:t>
      </w:r>
    </w:p>
    <w:p>
      <w:r>
        <w:t>IT: TF 9C_270/2012 del 23 maggio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2.2</w:t>
      </w:r>
    </w:p>
    <w:p>
      <w:r>
        <w:t>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3.1</w:t>
      </w:r>
    </w:p>
    <w:p>
      <w:r>
        <w:t>Das kantonale Gericht hat dem Gutachten des Dr. med. E.________, Facharzt für Orthopädische Chirurgie und Traumatologie des Bewegungsapparates, vom 14. Juni 2010 Beweiskraft beigemessen. Gestützt darauf hat es (implizite) eine Verbesserung des Gesundheitszustandes und damit einen Revisionsgrund im Sinne von Art. 17 Abs. 1 ATSG angenommen. Sodann hat es eine vollständige Arbeitsfähigkeit in angepasster Tätigkeit festgestellt. Für den Einkommensvergleich ( Art. 16 ATSG ) hat es das Valideneinkommen unter Verweis auf den vor Eintritt des Gesundheitsschadens erzielten Lohn auf Fr. 53'633.89 festgesetzt. Was das Invalideneinkommen von Fr. 46'342.04 betrifft, ist die Vorinstanz dem Vorgehen der IV-Stelle gefolgt, welche den Tabellenlohn der Lohnstrukturerhebung des Bundesamtes für Statistik (LSE 2008, Tabelle TA1, Total Frauen, Anforderungsniveau 4) heranzog und die betriebsübliche Wochenarbeitszeit sowie einen leidensbedingten Abzug ( BGE 126 V 75 E. 5b S. 79 f.; 134 V 322 E. 5.2 S. 327 f.) von 10 % einrechnete. Bei einem resultierenden Invaliditätsgrad von 14 % hat sie die Rentenaufhebung bestätigt.</w:t>
      </w:r>
    </w:p>
    <w:p>
      <w:r>
        <w:rPr>
          <w:b/>
        </w:rPr>
        <w:t>E. 3.2</w:t>
      </w:r>
    </w:p>
    <w:p>
      <w:r>
        <w:t>Die Beschwerdeführerin bestreitet nicht, dass sich der Gesundheitszustand und die Arbeitsfähigkeit verbesserten und dass damit grundsätzlich ein Revisionsgrund vorliegt. Im Wesentlichen stellt sie die Beweiskraft des Gutachtens des Dr. med. E.________ in Abrede und kritisiert die vorinstanzliche Beweiswürdigung als willkürlich.</w:t>
      </w:r>
    </w:p>
    <w:p>
      <w:r>
        <w:rPr>
          <w:b/>
        </w:rPr>
        <w:t>E. 4.1</w:t>
      </w:r>
    </w:p>
    <w:p>
      <w:r>
        <w:t>Soweit die Beschwerdeführerin eine Verletzung des Anspruchs auf rechtliches Gehör (vgl. Art. 29 Abs. 2 BV ) rügt, weil die IV-Stelle dem Gutachter Zusatzfragen gestellt habe, ohne sie einzubeziehen, kann sie nichts für sich ableiten: Die Vorinstanz hat zutreffend dargelegt, weshalb von einer Heilung des Mangels (vgl. BGE 135 I 279 E. 2.6.1 S. 285) auszugehen ist. Im Weiteren bildet nicht das Verhalten der IV-Stelle, sondern der vorinstanzliche Entscheid Anfechtungsobjekt im bundesgerichtlichen Beschwerdeverfahren (vgl. Art. 86 Abs. 1 lit. d BGG ; Urteil 9C_447/2011 vom 21. Juli 2011 E. 4.1.3). Ausserdem verletzt es nicht den Anspruch auf rechtliches Gehör, wenn ein von der Verwaltung eingeholtes Gutachten nicht den behandelnden Ärzten zur Stellungnahme vorgelegt wird (vgl. E. 4.2), zumal es der Beschwerdeführerin nicht verwehrt war, eine solche mit dem Schreiben des Dr. med. R.________ vom 11. Januar 2011 im vorinstanzlichen Verfahren einzureichen.</w:t>
      </w:r>
    </w:p>
    <w:p>
      <w:r>
        <w:rPr>
          <w:b/>
        </w:rPr>
        <w:t>E. 4.2</w:t>
      </w:r>
    </w:p>
    <w:p>
      <w:r>
        <w:t>Was die Beschwerdeführerin gegen das Gutachten des Dr. med. E.________ vorbringt, hält nicht stand; dieses genügt den bundesrechtlichen Anforderungen an die Beweiskraft (E. 2.2). Das kantonale Gericht hat die fachärztliche Qualifikation des Experten zu Recht für genügend gehalten: Weshalb nur ein Rheumatologe und nicht auch ein Facharzt für Orthopädische Chirurgie und Traumatologie des Bewegungsapparates die Beschwerden der Versicherten beurteilen können soll, ist nicht nachvollziehbar, bilden doch (chronische) Schmerzen des Bewegungsapparates Gegenstand sowohl der Rheumatologie als auch der Orthopädie (Urteile 9C_547/2010 vom 26. Januar 2011 E. 4.1; 9C_203/2010 vom 21. September 2010 E. 4.1). Weiter fehlen Anhaltspunkte dafür, dass Dr. med. E.________ die Vorakten ungenügend berücksichtigt haben soll. Der Regionale Ärztliche Dienst (RAD) legte dar, dass weder der Gutachter noch der behandelnde Rheumatologe Dr. med. R.________ wesentliche funktionseinschränkende Befunde erhoben hätten. Eine nähere Auseinandersetzung mit dessen Auffassung oder jener der Hausärztin war daher nicht zwingend erforderlich. Zudem musste sich der Gutachter nicht mit anderen Ärzten in Verbindung setzen, liegt doch das Einholen fremdanamnestischer Auskünfte in seinem Ermessensspielraum (Urteile 9C_762/2010 vom 19. Oktober 2010 E. 3.1; 9C_482/2010 vom 21. September 2010 E. 4.1). Soweit sich die Beschwerdeführerin auf BGE 137 V 210 E. 3.1.3.3 S. 244 beruft, legt sie selber zutreffend dar, dass sich daraus nicht ein Anspruch auf Rücksprache des Experten mit dem behandelnden Arzt ableiten lässt, auch wenn eine solche eine sinnvolle Massnahme für die Verbesserung der Gutachtensakzeptanz ist. Überdies gibt es - bis auf die Behauptung der Beschwerdeführerin - keine Hinweise dafür, dass der zeitliche Aufwand für die Untersuchung der Fragestellung und der zu beurteilenden Pathologie nicht angemessen gewesen sein soll (vgl. Urteile 9C_246/2010 vom 11. Mai 2010 E. 2.2.2; 9C_664/2009 vom 6. November 2009 E. 3). Schliesslich wird die Beweiskraft des Gutachtens vom 14. Juni 2010 auch nicht geschmälert durch das neu eingereichte, zweite orthopädische Gutachten des Dr. med. E.________ vom 15. August 2011, welches von einer zwischenzeitlich veränderten Situation ausgeht und im Übrigen unzulässig ist ( Art. 99 Abs. 1 BGG ). Massgeblicher Beurteilungszeitraum ist lediglich derjenige vor Verfügungserlass ( BGE 131 V 407 E. 2.1.2.1 S. 412; 129 V 1 E. 1.2 S. 4).</w:t>
      </w:r>
    </w:p>
    <w:p>
      <w:r>
        <w:rPr>
          <w:b/>
        </w:rPr>
        <w:t>E. 4.3</w:t>
      </w:r>
    </w:p>
    <w:p>
      <w:r>
        <w:t>Die Vorinstanz hat unter Verweis auf die Aktenlage festgestellt, es müsse angenommen werden, dass der behandelnde Rheumatologe bei der medizinischen Beurteilung jeweils mehr auf die geklagten Beschwerden und weniger auf objektive Befunde abgestellt habe. Diese Feststellung überschreitet nicht den Rahmen freier Beweiswürdigung (vgl. Art. 61 lit. c ATSG ); sie verletzt auch nicht den Untersuchungsgrundsatz, nur weil das kantonale Gericht diesbezüglich keine Bestätigung des betreffenden Arztes einholte; sie ist weder offensichtlich unrichtig, geschweige denn willkürlich (vgl. BGE 132 V 393 E. 3.2 S. 397 ff.; SVR 2009 IV Nr. 53 S. 164, 9C_204/2009 E. 4.1, nicht publ. in: BGE 135 V 254 ), zumal im Zusammenhang mit verschiedenen ärztlichen Einschätzungen auch dem Unterschied zwischen Behandlungs- und Begutachtungsauftrag ( BGE 125 V 351 E. 3b/cc S. 353; Urteile 8C_740/2010 vom 29. September 2011 E. 6; 9C_842/2009 vom 17. November 2009 E. 2.2) Rechnung zu tragen ist.</w:t>
      </w:r>
    </w:p>
    <w:p>
      <w:r>
        <w:rPr>
          <w:b/>
        </w:rPr>
        <w:t>E. 4.4</w:t>
      </w:r>
    </w:p>
    <w:p>
      <w:r>
        <w:t>Unter den gegebenen Umständen hat die Vorinstanz in zulässiger antizipierender Beweiswürdigung (vgl. BGE 137 V 64 E. 5.2 S. 69 ; 136 I 229 E. 5.3 S. 236; Urteil 8C_682/2011 E. 3.2.4) auf weitere Abklärungen verzichtet, weshalb auch der beantragten Rückweisung nicht stattzugeben ist. Nach dem Gesagten bleibt die vorinstanzliche Beweiswürdigung - wie die Sachverhaltsfeststellungen betreffend die Arbeitsfähigkeit - für das Bundesgericht verbindlich (E. 1). In Bezug auf dieses Ergebnis werden die übrigen Faktoren der Invaliditätsbemessung nicht angefochten. Es besteht kein Anlass für eine nähere Prüfung von Amtes wegen ( BGE 125 V 413 E. 1b und 2c S. 415 ff.; 110 V 48 E. 4a S. 53). Das kantonale Gericht hat folglich zu Recht die Rentenaufhebung bestätigt ( Art. 28 Abs. 2 IVG ). Die Beschwerde ist unbegründet. Sollte sich der Gesundheitszustand nach Erlass der rentenaufhebenden Verfügung vom 16. November 2010 verschlechtert haben, bleibt der Beschwerdeführerin eine Neuanmeldung - soweit nicht schon erfolgt - unbenommen, zumal sie sich auf Art. 29bis IVV berufen könnte.</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