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9C_26/2015 vom 17. April 2015</w:t>
      </w:r>
    </w:p>
    <w:p>
      <w:r>
        <w:t>Bundesgericht, 2015-04-17, DE</w:t>
      </w:r>
    </w:p>
    <w:p>
      <w:r>
        <w:rPr>
          <w:b/>
        </w:rPr>
        <w:t xml:space="preserve">Quelle: </w:t>
      </w:r>
      <w:r>
        <w:t>https://mcp.opencaselaw.ch/entscheid/bger_9C_26_2015</w:t>
      </w:r>
    </w:p>
    <w:p>
      <w:r>
        <w:t>FR: TF 9C_26/2015 du 17 avril 2015</w:t>
      </w:r>
    </w:p>
    <w:p>
      <w:r>
        <w:t>IT: TF 9C_26/2015 del 17 aprile 2015</w:t>
      </w:r>
    </w:p>
    <w:p>
      <w:pPr>
        <w:pStyle w:val="Heading2"/>
      </w:pPr>
      <w:r>
        <w:t>Erwägungen</w:t>
      </w:r>
    </w:p>
    <w:p>
      <w:r>
        <w:rPr>
          <w:b/>
        </w:rPr>
        <w:t>E. 1.1</w:t>
      </w:r>
    </w:p>
    <w:p>
      <w:r>
        <w:t>Das Bundesgericht wendet das Recht von Amtes wegen an ( Art. 106 Abs. 1 BGG ). Seinem Urteil legt es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(Art. 97 Abs. 1 i.V.m.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w:t>
      </w:r>
    </w:p>
    <w:p>
      <w:r>
        <w:rPr>
          <w:b/>
        </w:rPr>
        <w:t>E. 1.2</w:t>
      </w:r>
    </w:p>
    <w:p>
      <w:r>
        <w:t>Diese Grundsätze gelten auch in Bezug auf die konkrete Beweiswürdigung (Urteil 9C_431/2013 vom 12. August 2013 E. 1.2.1). 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140 III 16 E. 2.1 S. 18 f.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w:t>
      </w:r>
    </w:p>
    <w:p>
      <w:r>
        <w:rPr>
          <w:b/>
        </w:rPr>
        <w:t>E. 2</w:t>
      </w:r>
    </w:p>
    <w:p>
      <w:r>
        <w:t>Streitig und zu prüfen ist, ob die am 5. Juli 2013 durch die Beschwerdegegnerin verfügte Aufhebung der bisherigen Rente der Beschwerdeführerin vorinstanzlich zu Recht bestätigt wurde.</w:t>
      </w:r>
    </w:p>
    <w:p>
      <w:r>
        <w:rPr>
          <w:b/>
        </w:rPr>
        <w:t>E. 3</w:t>
      </w:r>
    </w:p>
    <w:p>
      <w:r>
        <w:t>Im angefochtenen Entscheid werden die gesetzlichen Bestimmungen und die von der Rechtsprechung entwickelten Grundsätze, namentlich diejenigen zum Begriff der Invalidität ( Art. 8 Abs. 1 ATSG in Verbindung mit Art. 4 Abs. 1 IVG ), zum Umfang des Rentenanspruchs ( Art. 28 Abs. 2 IVG ) und zum Beweiswert und zur Beweiswürdigung ärztlicher Berichte und Gutachten ( BGE 134 V 231 E. 5.1 S. 232; 125 V 351 E. 3a S. 352) richtig dargelegt. Gleiches gilt für die Ausführungen zur Rentenrevision ( Art. 17 Abs. 1 ATSG ; BGE 134 V 131 E. 3 S. 132) und zum revisionsrechtlich massgebenden Vergleichszeitraum ( BGE 133 V 108 E. 5.4 S. 114). Darauf wird verwiesen.</w:t>
      </w:r>
    </w:p>
    <w:p>
      <w:r>
        <w:rPr>
          <w:b/>
        </w:rPr>
        <w:t>E. 4.1</w:t>
      </w:r>
    </w:p>
    <w:p>
      <w:r>
        <w:t>Das kantonale Gericht hat eine einlässliche Würdigung der fachärztlichen Unterlagen, insbesondere des bidisziplinären Gutachtens des Instituts B.________ vom 10. April 2013, vorgenommen. Dabei gelangte es zum Schluss, das Gutachten erfülle die von der Rechtsprechung an den Beweiswert einer ärztlichen Expertise gestellten Anforderungen. Dr. med. C.________, Facharzt für Psychiatrie und Psychotherapie, habe in seinem Teilgutachten die in den Akten erwähnten ängstlich-depressiven Verstimmungen nicht mehr feststellen und damit auch die Diagnose einer Angststörung oder einer depressiven Störung nicht mehr stellen können. Ferner habe er eine neben der diagnostizierten somatoformen Schmerzstörung bestehende psychiatrische Komorbidität ebenso verneint wie das Vorliegen einer Arbeitsunfähigkeit. Die Gutachter des Instituts B.________ hätten ausgeführt, es sei eine Verbesserung des Gesundheitszustandes, insbesondere aus psychiatrischer Sicht, eingetreten. Die somit ausgewiesene Verbesserung des Gesundheitszustandes sei geeignet, den Rentenanspruch zu beeinflussen, weshalb ein Revisionsgrund vorliege und der Rentenanspruch allseitig zu prüfen sei. Gestützt auf das beweiskräftige Gutachten des Instituts B.________ bestehe bei der Beschwerdeführerin spätestens seit dem Untersuchungszeitpunkt im Institut B.________ am 13. März 2013 eine uneingeschränkte Arbeitsfähigkeit in jeglicher Tätigkeit.</w:t>
      </w:r>
    </w:p>
    <w:p>
      <w:r>
        <w:rPr>
          <w:b/>
        </w:rPr>
        <w:t>E. 4.2</w:t>
      </w:r>
    </w:p>
    <w:p>
      <w:r>
        <w:t>Die Tatsachenfeststellungen des kantonalen Gerichts, namentlich die aus den medizinischen Akten gewonnene Erkenntnis, wonach eine Arbeits- und Leistungsfähigkeit von 100 % besteht, ist im letztinstanzlichen Prozess grundsätzlich verbindlich (vgl. E. 1 hievor). Soweit allerdings das kantonale Gericht aufgrund des Gutachtens angenommen hat, die Beschwerdeführerin sei auch für körperlich schwere Arbeiten vollständig arbeitsfähig, ist diese Feststellung zu korrigieren ( Art. 105 Abs. 2 BGG ) : Die Gutachter befanden vielmehr, aus rheumatologischer Sicht sei die Beschwerdeführerin für körperlich schwere und anhaltend mindestens mittelschwere Tätigkeiten arbeitsunfähig. Für leichte bis intermittierend mittelschwere, wechselbelastende Tätigkeiten bestehe keine Einschränkung der Arbeitsfähigkeit. Diese ergänzende Sachverhaltsfeststellung ändert indes nichts am Ergebnis.</w:t>
      </w:r>
    </w:p>
    <w:p>
      <w:r>
        <w:rPr>
          <w:b/>
        </w:rPr>
        <w:t>E. 4.3</w:t>
      </w:r>
    </w:p>
    <w:p>
      <w:r>
        <w:t>Das kantonale Gericht hat sich mit den von der Beschwerdeführerin vorgebrachten Einwänden bereits auseinandergesetzt. Namentlich trifft dies auf die Rüge zu, das psychiatrische Teilgutachten des Dr. C.________ genüge den rechtsprechungsgemässen Anforderungen an ein beweistaugliches Gutachten nicht, weil es der Expertise an Gründlichkeit und Ernsthaftigkeit fehle, die Befunderhebung unsystematisch und laienhaft sei, folglich weder der Ausschluss einer depressiven Erkrankung noch das Vorliegen einer somatoformen Schmerzstörung nachvollziehbar begründet sei, die Begutachtungsdauer zu kurz bzw. kürzer als ursprünglich angezeigt gewesen sei und die in Frage stehende Erkrankung nicht mit wissenschaftlich anerkannten Tests überprüft worden sei. Auch mit dem Einwand, es liege - selbst unter der Annahme, das Teilgutachten C.________ sei beweiskräftig - keine Verbesserung des Gesundheitszustandes und folglich kein Revisionsgrund vor, hat sich die Vorinstanz bereits auseinandergesetzt.</w:t>
      </w:r>
    </w:p>
    <w:p>
      <w:r>
        <w:t>Mit ihren Einwänden legt die Beschwerdeführerin letztinstanzlich mit keinem Wort dar, inwiefern die vorinstanzlichen Sachverhaltsfeststellungen offensichtlich unrichtig seien oder auf einer Rechtsverletzung im Sinne von Art. 95 BGG beruhten. Die Rügen erschöpfen sich vielmehr in unzulässiger appellatorischer Kritik am Gutachten des Instituts B.________ vom 10. April 2013. Diese kann zum vornherein nicht beachtet werden (Art. 97 Abs. 1, Art. 105 Abs.1 und 2 BGG ), da sie nicht geeignet ist, die vorinstanzlichen Feststellungen als offensichtlich unrichtig oder sonst wie bundesrechtswidrig erscheinen zu lassen.</w:t>
      </w:r>
    </w:p>
    <w:p>
      <w:r>
        <w:rPr>
          <w:b/>
        </w:rPr>
        <w:t>E. 5</w:t>
      </w:r>
    </w:p>
    <w:p>
      <w:r>
        <w:t>Die Beschwerde ist offensichtlich unbegründet, weshalb sie im vereinfachten Verfahren nach Art. 109 BGG ohne Durchführung des Schriftenwechsels und mit summarischer Begründung erledigt wird.</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