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9C_268/2022 vom 10. Juni 2022</w:t>
      </w:r>
    </w:p>
    <w:p>
      <w:r>
        <w:t>Bundesgericht, 2022-06-10, DE</w:t>
      </w:r>
    </w:p>
    <w:p>
      <w:r>
        <w:rPr>
          <w:b/>
        </w:rPr>
        <w:t xml:space="preserve">Quelle: </w:t>
      </w:r>
      <w:r>
        <w:t>https://mcp.opencaselaw.ch/entscheid/bger_9C_268_2022</w:t>
      </w:r>
    </w:p>
    <w:p>
      <w:r>
        <w:t>FR: TF 9C_268/2022 du 10 juin 2022</w:t>
      </w:r>
    </w:p>
    <w:p>
      <w:r>
        <w:t>IT: TF 9C_268/2022 del 10 giugno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9C_268/2022</w:t>
      </w:r>
    </w:p>
    <w:p>
      <w:r>
        <w:t>Urteil vom 10. Juni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Erwerbsersatz für Dienstleistende und bei Mutterschaft (Covid-19),</w:t>
      </w:r>
    </w:p>
    <w:p>
      <w:r>
        <w:t>Beschwerde gegen das Urteil des Sozialversicherungsgerichts des Kantons Zürich vom 1. April 2022 (EE.2021.00001).</w:t>
      </w:r>
    </w:p>
    <w:p>
      <w:r>
        <w:t>Nach Einsicht</w:t>
      </w:r>
    </w:p>
    <w:p>
      <w:r>
        <w:t>in die Beschwerde vom 23. Mai 2022 (Postaufgabe) gegen das Urteil des Sozialversicherungsgerichts des Kantons Zürich vom 1. April 2022,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</w:t>
      </w:r>
    </w:p>
    <w:p>
      <w:r>
        <w:t>dass die Vorinstanz im angefochtenen Entscheid den Anspruch auf eine Entschädigung für Erwerbsausfall nach der Verordnung vom 20. März 2020 über Massnahmen bei Erwerbsausfall im Zusammenhang mit dem Coronavirus (Covid-19; Covid-19-Verordnung Erwerbsausfall [SR 830.31]) verneinte, da die Tätigkeit des Beschwerdeführers als unselbstständige Erwerbstätigkeit zu qualifizieren sei,</w:t>
      </w:r>
    </w:p>
    <w:p>
      <w:r>
        <w:t>dass der Beschwerde nicht entnommen werden kann, inwiefern die vorinstanzlichen Sachverhaltsfeststellungen im Sinne von Art. 97 Abs. 1 BGG qualifiziert unzutreffend und die darauf beruhenden Erwägungen rechtsfehlerhaft (vgl. Art. 95 BGG ) sein sollen,</w:t>
      </w:r>
    </w:p>
    <w:p>
      <w:r>
        <w:t>dass die Beschwerde den inhaltlichen Mindestanforderungen an ein Rechtsmittel somit offensichtlich nicht genügt,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10. Juni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