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9C_268/2018 vom 23. Mai 2018</w:t>
      </w:r>
    </w:p>
    <w:p>
      <w:r>
        <w:t>Bundesgericht, 2018-05-23, DE</w:t>
      </w:r>
    </w:p>
    <w:p>
      <w:r>
        <w:rPr>
          <w:b/>
        </w:rPr>
        <w:t xml:space="preserve">Quelle: </w:t>
      </w:r>
      <w:r>
        <w:t>https://mcp.opencaselaw.ch/entscheid/bger_9C_268_2018</w:t>
      </w:r>
    </w:p>
    <w:p>
      <w:r>
        <w:t>FR: TF 9C_268/2018 du 23 mai 2018</w:t>
      </w:r>
    </w:p>
    <w:p>
      <w:r>
        <w:t>IT: TF 9C_268/2018 del 23 maggio 2018</w:t>
      </w:r>
    </w:p>
    <w:p>
      <w:pPr>
        <w:pStyle w:val="Heading2"/>
      </w:pPr>
      <w:r>
        <w:t>Erwägungen</w:t>
      </w:r>
    </w:p>
    <w:p>
      <w:r>
        <w:rPr>
          <w:b/>
        </w:rPr>
        <w:t>E. 1</w:t>
      </w:r>
    </w:p>
    <w:p>
      <w:r>
        <w:t>Der Beschwerdeführerin ist insofern beizupflichten, als das Bundesgericht nicht an die Erwägungen des vorinstanzlichen Rückweisungsentscheids vom 17. April 2017 gebunden ist und letztinstanzlich auch das Ausmass der Arbeitsunfähigkeit (als Verpackerin oder in einer anderweitigen Erwerbstätigkeit) thematisiert werden kann. Anzumerken ist allerdings, dass die Vorinstanz auf diesen Punkt nicht nur im seinerzeitigen Rückweisungsentscheid, sondern auch im hier angefochtenen Entscheid vom 19. Februar 2018 eingegangen ist. In diesem hat sie nämlich auf der einen Seite erwogen, auf die im Rahmen der Rückweisung beantworteten Fragen nach der Beweiskraft des Gerichtsgutachtens von Dr. B.________, nach der medizinisch ausgewiesenen Arbeitsunfähigkeit sowie nach der Verwertbarkeit des verbliebenen Leistungsvermögens auf dem ausgeglichenen Arbeitsmarkt könne (an sich) nicht eingegangen werden. Auf der anderen Seite hat sich das kantonale Gericht im Sinne einer Alternativbegründung ("selbst wenn....") mit diesen Fragen erneut auseinandergesetzt.</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3</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4</w:t>
      </w:r>
    </w:p>
    <w:p>
      <w:r>
        <w:t>Des Weitern hat das kantonale Gericht - wobei es die hievor (E. 2) angeführte Kognitionsregelung zu beachten gilt - insbesondere gestützt auf das erwähnte psychiatrische Gerichtsgutachten zutreffend erkannt, dass die Beschwerdeführerin trotz einer rezidivierenden depressiven Störung und einer anhaltenden somatoformen Schmerzstörung der angestammten (wie auch einer andern angepassten) Erwerbstätigkeit im Umfange eines 60 %-Pensums nachgehen und damit ein Einkommen erzielen könnte, welches zu keiner höheren als der verfügten Viertels-Invalidenrente berechtigt.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praktisch ausschliesslich blosse Tat- und Ermessensfragen aufgeworfen, welche - wie dargelegt - der freien Überprüfung durch das Bundesgericht von vornherein entzogen sind. Soweit sich die Beschwerdeführerin darauf beschränkt, stichwortartig angebliche Mängel des Gerichtsgutachtens aufzulisten und auf diesbezügliche Seitenzahlen im von ihr vorinstanzlich eingereichten Aktengutachten des Psychiaters Dr. C.________ vom 28. Dezember 2017 zu verweisen, liegt ohnehin keine rechtsgenügliche Beschwerde vor (umso mehr, als sich das kantonale Gericht im angefochtenen Entscheid mit dem Parteigutachten des Dr. C.________ einlässlich auseinandergesetzt hat).</w:t>
      </w:r>
    </w:p>
    <w:p>
      <w:r>
        <w:rPr>
          <w:b/>
        </w:rPr>
        <w:t>E. 5</w:t>
      </w:r>
    </w:p>
    <w:p>
      <w:r>
        <w:t>Die im Sinne von Art. 109 Abs. 2 lit. a BGG offensichtlich unbegründete Beschwerde ist im vereinfachten Verfahren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