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267/2014 vom 18. Dezember 2014</w:t>
      </w:r>
    </w:p>
    <w:p>
      <w:r>
        <w:t>Bundesgericht, 2014-12-18, DE</w:t>
      </w:r>
    </w:p>
    <w:p>
      <w:r>
        <w:rPr>
          <w:b/>
        </w:rPr>
        <w:t xml:space="preserve">Quelle: </w:t>
      </w:r>
      <w:r>
        <w:t>https://mcp.opencaselaw.ch/entscheid/bger_9C_267_2014</w:t>
      </w:r>
    </w:p>
    <w:p>
      <w:r>
        <w:t>FR: TF 9C 267/2014 du 18 décembre 2014</w:t>
      </w:r>
    </w:p>
    <w:p>
      <w:r>
        <w:t>IT: TF 9C 267/2014 del 18 dicembre 2014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w:t>
      </w:r>
    </w:p>
    <w:p>
      <w:r>
        <w:t>Es kann offen bleiben, ob und inwieweit der Antrag des Beschwerdeführers auf Edition der Akten des Schadenersatzverfahrens gegen die Schweizerische Eidgenossenschaft (vgl. Sachverhalt lit. A.b) neu und unzulässig ist ( Art. 99 Abs. 1 BGG ; E. 6.4 S. 388 ff. des angefochtenen Entscheids). Ihr Beizug war - und ist auch vor Bundesgericht - nicht angezeigt. Eine etwaige Verantwortlichkeit der (damaligen) Aufsichtsbehörde ist nicht Gegenstand dieses Verfahrens, sondern eines separaten Verantwortlichkeitsverfahrens. Ein Berührungspunkt zwischen den beiden Verfahren, d.h. dem vorliegenden und dem Schadenersatzverfahren gegen die Schweizerische Eidgenossenschaft, findet sich einzig bezüglich der Frage, ob ein allfälliges Fehlverhalten des BSV geeignet ist, den - hier - haftungsrelevanten Kausalzusammenhang (vgl. E. 8.1 hinten) zu unterbrechen. Nachdem ein solcher Unterbruch zu verneinen ist (vgl. E. 8.3 hinten), kann auch aus diesem Grund auf eine Edition verzichtet werden. Gleichzeitig erweist sich das Sistierungsgesuch als unbegründet. Diesem sind ohnehin durch die gebotene Raschheit des Verfahrens ( Art. 73 Abs. 2 BVG ; Art. 29 Abs. 1 BV ) enge Grenzen gesetzt ( BGE 134 IV 43 E. 2.5 S. 47).</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Ziff. 8 BVG ; Art. 89bis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(vgl. Art. 51 BVG ). Diese Organeigenschaft kann wie im Rahmen der Verantwortlichkeitsvorschrift von Art. 52 AHVG auch eine bloss faktische sein.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(BGE a.a.O.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1.1 mit Hinweis auf BGE 130 V 227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nationalrätlichen Kommission für soziale Sicherheit und Gesundheit vom 21./22. Februar 2002 S. 44; Protokoll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33 Mio. Fr. erbracht. Damit ist die neue, bis Ende 2011 gültige Fassung von Art. 56a Abs. 1 BVG anzuwenden.</w:t>
      </w:r>
    </w:p>
    <w:p>
      <w:r>
        <w:rPr>
          <w:b/>
        </w:rPr>
        <w:t>E. 3.3</w:t>
      </w:r>
    </w:p>
    <w:p>
      <w:r>
        <w:t>Art. 52 Abs. 1 BVG und Art. 56a Abs. 1 BVG haben wohl zwei verschiedene "Schadensarten" zum Inhalt, einerseits den Schaden, der bei der Stiftung eingetreten ist ( Art. 52 BVG ), anderseits denjenigen, der beim Beschwerdegegner selber angefallen ist ( Art. 56a BVG ). Dessen ungeachtet ist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 gekommen (vgl. E. 9).</w:t>
      </w:r>
    </w:p>
    <w:p>
      <w:r>
        <w:rPr>
          <w:b/>
        </w:rPr>
        <w:t>E. 4</w:t>
      </w:r>
    </w:p>
    <w:p>
      <w:r>
        <w:t>Die Vorinstanz hat für das Bundesgericht verbindlich und richtig festgestellt (vgl. E. 1 vorne), dass die Stiftung alle ihre Ansprüche, die sie gegen die Beklagten 1-13 zu haben glaubt, somit auch den aus Art. 52 BVG fliessenden Verantwortlichkeitsanspruch, formell korrekt an den Beschwerdegegner abgetreten hat (E. 4.2.1 S. 46 des angefochtenen Entscheids). Mit Erklärung vom 13. Dezember 2010 trat dieser zudem gestützt auf Art. 56a Abs. 1 BVG in die Verantwortlichkeitsansprüche der Stiftung gegenüber den Beklagten 1-13 ein. In Anbetracht der materiellen Organstellung des Beschwerdeführers als Stiftungsrat steht hier Art. 52 Abs. 1 BVG als Anspruchsgrundlage im Vordergrund (vgl. E. 3.1.2 vorne). Der Beschwerdeführer wird aber auch gestützt auf Art. 56a BVG ins Recht gefasst (E. 5.4 S. 305 des kantonalen Entscheids).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3.2.1 Abs. 2 vorne).</w:t>
      </w:r>
    </w:p>
    <w:p>
      <w:r>
        <w:rPr>
          <w:b/>
        </w:rPr>
        <w:t>E. 5</w:t>
      </w:r>
    </w:p>
    <w:p>
      <w:r>
        <w:t>Was den Schaden betrifft, so hat das kantonale Gericht erwogen, die Abflüsse der Stiftung bis zur Höhe von Fr. 30'553'230.39 seien ausreichend substanziiert und würden vom Beschwerdeführer nicht substanziell bestritten (angefochtener Entscheid E. 4.3.4.6 i.f. S. 65). Er habe insbesondere nicht geltend gemacht, dass die Abflüsse rechtmässig gewesen sind (a.a.O. E. 4.3.5 S. 65). Der Beschwerdeführer widerspricht diesen Feststellungen, die für das Bundesgericht verbindlich sind (vgl. E. 1.1 vorne), nicht, sondern bringt vor, die Höhe des Schadens stehe noch gar nicht fest, weil sich ein Teil der abgeflossenen - und im Strafverfahren beschlagnahmten - Gelder wieder zurückführen lasse resp. die Liquidation noch nicht abgeschlossen sei. Indes setzt er sich mit den diesbezüglichen Erwägungen der Vorinstanz, wonach die Stiftung in Liquidation alles daran gesetzt hat resp. die Liquidatoren sich mit gebotenen Schritten darum bemüht haben, die unrechtmässig abgeflossenen Mittel wieder zurückzuholen, und es überwiegend wahrscheinlich ist, dass sich der Schadensbetrag nicht mehr verringern wird (a.a.O. E. 4.3.6.3 S. 84-88), nicht hinreichend auseinander. Es genügt den Rügeanforderungen nicht, einzelne Passagen isoliert herauszugreifen, zumal der vorinstanzliche Beweisschluss im Ergebnis mit einem klaren Mangel behaftet sein muss (vgl. E. 1.1.1 vorne). Dass sich der eingeklagte Schaden infolge Freigabe der beschlagnahmten Gelder noch reduzieren könnte, ist auch deshalb unwahrscheinlich, weil hier lediglich über einen Teilschaden befunden wird (vgl. Sachverhalt lit. B.a i.f.). Der Fehlbetrag im Zeitpunkt der Aufhebung der Stiftung lag über 33 Mio. Fr. (vgl. Sachverhalt lit. A.b Abs. 2) und hat sich seit dem Liquidationsbeschluss um mindestens weitere 2,6 Mio. Fr. erhöht, wie die Vorinstanz für das Bundesgericht verbindlich (vgl. E. 1.1 vorne) festgestellt hat (kantonaler Entscheid E. 4.3.6.3 i.f. S. 88). Grundsätzlich ebenfalls als Schaden zu berücksichtigen wäre zudem der (ebenfalls eingeklagte) entgangene Gewinn bzw. die entgangene Rendite). Im Übrigen kann der Sicherheitsfonds, wenn das Ausmass des Schadens im Zeitpunkt der Klageanhebung weder exakt noch annähernd bestimmbar ist, weil die Höhe des Erlöses aus der Liquidation der Vorsorgeeinrichtung noch nicht feststeht, gleichwohl den gesamten Schaden geltend machen, sofern der Liquidationserlös an den Schadensverursacher abgetreten wird ( BGE 139 V 176 E. 9.2 S. 191 f.).</w:t>
      </w:r>
    </w:p>
    <w:p>
      <w:r>
        <w:rPr>
          <w:b/>
        </w:rPr>
        <w:t>E. 6.1</w:t>
      </w:r>
    </w:p>
    <w:p>
      <w:r>
        <w:t>Hinsichtlich der stiftungsrätlichen Sorgfaltspflicht hat die Vorinstanz vorab deren Facetten dargelegt (allgemeine Sorgfaltspflichten, Sorgfaltspflichten bei der Delegation, Sorgfalt in der Führung, Informationsrechte und -pflichten, Pflichten bei der Vermögensverwendung, allgemeine Sorgfaltspflichten in der Vermögensanlage, besondere Überwachungspflichten in der Vermögensanlage, Meldepflichten, Treuepflicht; E. 4.4.2 S. 95 ff. des vorinstanzlichen Entscheids). Sodann hat sie für die eigentliche Prüfung, ob eine Pflichtverletzung vorliegt, die Stiftungsräte in drei Gruppen zusammengefasst. Der Beschwerdeführer wurde dabei mit den Beklagten 5, 7 und 8 beurteilt, was nicht zu beanstanden ist, zumal in den Erwägungen zwischen den einzelnen Gruppenmitgliedern klar differenziert wird. Den allgemeinen Ausführungen der Vorinstanz zu den einzelnen Sorgfaltspflichten, auf die vollumfänglich verwiesen werden kann, ist anzufügen, dass die Haftung eines Stiftungsrates keiner Karenzfrist unterliegt. Dieser steht ab dem Tag der effektiven Begründung der Organstellung - hier unbestritten ab 1. Oktober 2005 (a.a.O. E. 4.7.1.3 i.f. S. 171) - in der vollen Pflicht ( BGE 128 V 124 E. 4b S. 128). Dies bedingt, dass er sich ein genügend umfassendes Bild der Einrichtung verschafft, bevor das Mandat übernommen wird. Die wichtigsten Bereiche, wozu u.a. die Organisation und die Anlagen sowie das Risikomanagement gehören, sind vor der Annahme des Stiftungsratsmandats zu prüfen (vgl. MÜLLER/LIPP/PLÜSS, Der Verwaltungsrat, Ein Handbuch für Theorie und Praxis, 4. Aufl. 2014, S. 21 f. Ziff. 1.2.7). Das heisst nicht, dass der Stiftungsrat schon bei Amtsantritt Verdacht schöpfen muss oder Nachforschungen zu betreiben hat, ohne dass ein begründeter Anlass besteht. Indes hat er sich von Anfang an aktiv um das Geschehen zu kümmern. Damit geht nicht eine Vorwirkung der Haftung einher. Deren Beginn, der sich, wie soeben dargelegt, nach der tatsächlichen Mandatsübernahme richtet, bleibt sich gleich. Daran ändert auch nichts, dass die Vorsorgeeinrichtung die Aus- und Weiterbildung der Arbeitnehmer- und Arbeitgebervertreter im obersten paritätischen Organ auf eine Weise zu gewährleisten hat, dass diese ihre Führungsaufgaben wahrnehmen können ( Art. 51 Abs. 6 BVG in der hier massgebenden, bis Ende 2011 gültigen Fassung; ab 1. Januar 2012: Art. 51a Abs. 2 lit. i BVG ). Abgesehen davon, dass das Gesetz nicht gebietet, sich erst nach Amtsantritt (erstmals) ausbilden zu lassen, bestimmt sich die Sorgfaltspflicht nicht nach dem Stand der Fachkenntnisse, sondern nach objektiven Kriterien. Dies ist auch der klare Wille des Gesetzgebers (vgl. dazu den im Nationalrat klar verworfenen Antrag, - zumindest - das Mass der Sorgfalt nach den Fachkenntnissen zu bestimmen [Protokoll der nationalrätlichen Kommission für soziale Sicherheit und Gesundheit vom 21./22. Februar 2002 S. 37 unten; AB 2002 N 551 f.]). Eine andere Frage ist, ob die Mandatsdauer ein rechtzeitiges Handeln zugelassen hätte (vgl. dazu E. 6.2.3 Abs. 2 hinten).</w:t>
      </w:r>
    </w:p>
    <w:p>
      <w:r>
        <w:rPr>
          <w:b/>
        </w:rPr>
        <w:t>E. 6.2</w:t>
      </w:r>
    </w:p>
    <w:p>
      <w:r>
        <w:t>Die Beklagten 5-8 sind erst in einem späteren Zeitpunkt dem Stiftungsrat beigetreten und sehen sich allesamt dem Vorwurf ausgesetzt, sich nach dem Eintritt zu passiv verhalten zu haben, womit sie eine Vergrösserung des Schadens billigend in Kauf genommen hätten (E. 4.4.1 i.f. S. 94 des angefochtenen Entscheids).</w:t>
      </w:r>
    </w:p>
    <w:p>
      <w:r>
        <w:rPr>
          <w:b/>
        </w:rPr>
        <w:t>E. 6.2.1</w:t>
      </w:r>
    </w:p>
    <w:p>
      <w:r>
        <w:t>Für die Geschäftsorganisation der Stiftung war der Umstand charakteristisch, dass zahlreiche Aufgaben an Dritte delegiert wurden (a.a.O. E. 3.4 S. 33 ff.) : Bereits in der Stiftungsurkunde wurde die Q.________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Stiftung die vollständige unternehmerische und fachliche Führung, inkl. derjenige der in ihr zusammengeschlossenen Vorsorgewerke, auf die Q.________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Q.________ AG mit Leistungsauftrag 1.1 - ebenfalls rückwirkend auf den 1. Januar 2004 - die unternehmerische und fachliche Führung der Stiftung vollständig weiter an die R.________ AG, mit Sitz an der identischen Adresse wie die Stiftung und die Q.________ AG. Als Verwaltungsräte der R.________ AG amteten u.a. die Beklagten 1 (ab 15. Dezember 2000), 2 (ab 25. Januar 2002) und 4 (ab 18. Mai 2005). Der von ihr zu erfüllende Aufgabenkatalog entsprach dabei praktisch wörtlich demjenigen, der zuvor der Q.________ AG übertragen worden war. Die Buchhaltung der Stiftung wurde indessen weder von der Q.________ AG noch von der R.________ AG ausgeführt. Diese Aufgabe übernahm die Beklagte 11. Ebenfalls am 15. Juni 2004 unterzeichnete die Stiftung zwei Agenturverträge mit der R.________ AG. Diese wurde darin - rückwirkend auf den 1. Januar 2004 - mit der Akquisition von Neukunden beauftragt. Am 8. Januar 2004 schloss die Stiftung mit der S.________ Ltd., ansässig in T.________, einen Vermögensverwaltungsauftrag - rückwirkend auf den 1. November 2003 - ab. Dieser unterlag folgenden Einschränkungen: Die Verwaltungshandlungen waren im Rahmen des vorhandenen Anlagereglements der Stiftung vom 7. April 2003 vorzunehmen. Die S.________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klargestellt, dass auf das noch zu definierende Bankkonto, auf welchem das Deckungskapital zu deponieren war, ausschliesslich Organe der Stiftung Zugriff haben durften. Der S.________ Ltd. wurden über die im Vertrag hinaus eingeräumten Rechte keine weiteren Rechte an den Vermögenswerten auf dem Bankkonto eingeräumt. Anfangs Juni 2004 schloss die Stiftung einen (weiteren) umfassenden Vermögensverwaltungsauftrag - ebenfalls rückwirkend auf den 1. November 2003 - mit der U.________ AG ab, welcher die Beklagten 4 und 13 als Verwaltungsräte angehörten. Der Auftrag war mit Blick auf das weitgehende freie Ermessen und die zu beachtenden Einschränkungen identisch abgefasst wie der zuvor erwähnte Vertrag mit der S.________ Ltd.. Ein wesentlicher Unterschied bestand darin, dass im Vertrag ein Bankkonto (Haupt-Nr. ...) bei der V.________ AG vordefiniert wurde. Am 16. Juni 2005 verlegte die U.________ AG ihren Sitz an die gleiche Adresse wie die Stiftung, die Q.________ AG und die R.________ AG. Mit einer Verwaltungsvollmacht für Finanzintermediäre vom 19. September 2003 räumte die Stiftung der Beklagten 12 das Recht ein, die unter der Stammnummer ... bei der V.________ AG deponierten Vermögenswerte ohne jede Einschränkung zu verwalten. Am 12. Februar 2004 räumte die Stiftung der Beklagten 12 erneut eine umfassende Verwaltungsvollmacht für Finanzintermediäre ein. Diesmal betraf es die Konti unter der Stammnummer ... bei der V.________ AG. Die Kontogruppe wurde auf dem Formular näher mit "Rubrik: R.________ AG" bezeichnet.</w:t>
      </w:r>
    </w:p>
    <w:p>
      <w:r>
        <w:rPr>
          <w:b/>
        </w:rPr>
        <w:t>E. 6.2.2</w:t>
      </w:r>
    </w:p>
    <w:p>
      <w:r>
        <w:t>Der Beschwerdeführer war im hier fraglichen Zeitpunkt Geschäftsführer der Z.________ AG (E. 4.7.1.6 S. 177 unten des angefochtenen Entscheids), und übte sein Stiftungsratsmandat ehrenamtlich als Vertreter der Arbeitnehmerschaft aus. Dabei wusste er um das Haftungsrisiko, insbesondere war ihm bewusst, dass er noch nicht versichert war. Ebenso wusste er, dass er im obersten Führungsorgan der Stiftung Einsitz nahm und dort verantwortlich dafür war, dass die gesetzlichen und reglementarischen Vorschriften eingehalten werden. Ihm war auch bekannt, dass der Stiftungsrat die Verantwortung für die Anlage der Stiftungsmittel trug und dass die Stiftung die Anlagetätigkeit an einen Dritten delegiert hatte. Schliesslich hatte er auch zur Kenntnis genommen, dass die Sparkapitalien in irgendeiner Form abgesichert wurden und dass die Stiftung zu diesem Zweck mit der V.________ AG zusammenarbeitete (a.a.O. E. 4.7.1.4 S. 173 oben).</w:t>
      </w:r>
    </w:p>
    <w:p>
      <w:r>
        <w:rPr>
          <w:b/>
        </w:rPr>
        <w:t>E. 6.2.3</w:t>
      </w:r>
    </w:p>
    <w:p>
      <w:r>
        <w:t>Bei dieser - von der Vorinstanz festgestellten und für das Bundesgericht verbindlichen (vgl. E. 1.1 vorne) - Sachlage (vgl. E. 6.2.1 und E. 6.2.2 vorne) war es für den Beschwerdeführer wohl nicht einfach, das rund um die Stiftung aufgebaute Firmenkonglomerat zu überblicken. Dessen ungeachtet kann er sich nicht in die Rolle eines unbedarften Stiftungsrats flüchten (vgl. E. 6.1 vorne). Nicht ein jeder Stiftungsrat muss ein Experte in Sachen Versicherungstechnik oder Vermögensanlage sein. Die zentrale Bedeutung des Amtes erfordert jedoch von jedem durchschnittlich sorgfältig agierenden Stiftungsrat eine kritische Grundhaltung in Bezug auf die ureigene Aufgabenerfüllung. Diese hätte hier vordringlich die Erfragung der - konkreten - Anlagestrategie und des Risikoprofils der Stiftung sowie der genauen Verhältnisse rund um die externalisierte Vermögensverwaltung verlangt. Das bei den Akten liegende Anlagereglement, Version vom 7. April 2003, weist nämlich kein Genehmigungsdatum auf. Den Stiftungsratsprotokollen lässt sich nichts Gegenteiliges entnehmen. Der Beschwerdeführer kann sich nicht mit dem Vorbringen begnügen, er habe sich auf die Aussagen anderer involvierter Stiftungsräte, der Kontrollstelle und weiterer Fachpersonen verlassen dürfen. Vordergründig wurde (n) wohl ein positiver Eindruck, vor allem positive Zahlen, vermittelt (z.B. provisorischer Jahresabschluss 2003/2004 mit einem Gewinn, Deckungsgrad per Ende 2004 von 101,1 % bzw. per Ende 2005 von 105,5 %). Der Stiftungsrat kann sich jedoch nicht allein am Ergebnis orientieren; insbesondere reicht der Deckungsgrad als Momentaufnahme nicht aus, um die finanzielle Lage einer Vorsorgeeinrichtung zu beurteilen. Er trägt die Verantwortung für ein gesetzlich und reglementarisch korrektes Handeln (Stiftungsstatut vom 1. Mai 2003 S. 3 oben Ziff. 6), weshalb er sich (auch) um die Gegebenheiten hinter den Zahlen kümmern muss. Dazu gehört die - dem Stiftungsrat als Ganzes zugewiesene (Stiftungsstatut vom 1. Mai 2003 S. 2 f. Punkt 6) - Anlagestrategie, die nicht an einen Dritten übertragbar ist, andernfalls der Grundsatz der Parität und die damit gewährten Mitentscheidungsrechte der Arbeitnehmenden illusorisch gemacht werden ( Art. 51 Abs. 1 BVG , in Kraft seit 1. April 2004; Art. 49a Abs. 1 BVV 2 in der bis Ende 2008 gültigen Fassung; GÄCHTER/GECKELER HUNZIKER, in: Handkommentar zum BVG und FZG, Schneider/Geiser/ Gächter [Hrsg.], 2010, N. 55 f. zu Art. 51 BVG ; seit 1. Januar 2012: Art. 51a Abs. 2 lit. m BVG ). Entscheid und Verantwortung verharren diesbezüglich - und verharrten auch in concreto (Stiftungsstatut vom 1. Mai 2003 S. 2-5 Punkte 5-7) - ungeteilt beim Stiftungsrat. Soweit die Durchführung des Anlageprozesses in den Aufgabenbereich eines anderen Stiftungsrates fiel, so entbindet dieser Umstand nicht davon, sicherzustellen, dass der andere Stiftungsrat die Vermögensverwaltungsgesellschaft regelmässig auf die Anlageziele und -grundsätze kontrolliert ( DOMENICO GULLO, Die Verantwortlichkeit des Stiftungsrats in der Vorsorgeeinrichtung und die Delegation von Aufgaben, in: SZS 2001 S. 48 f. unten). Wird die Umsetzung der Anlagestrategie an einen anderen Stiftungsrat übertragen, so handelt es sich nicht um eine Delegation von Aufgaben und Verantwortung im herkömmlichen Sinne, sondern lediglich um eine Massnahme, die organisatorischer Natur ist und einer effizienten Stiftungsratstätigkeit dient ( ERICH PETER, Leitfaden für Stiftungsräte, Führungsaufgaben und -prozesse in Vorsorgeeinrichtungen, 2014, S. 32 und 35). Dabei steht - in für das Bundesgericht verbindlicher Weise (vgl. E. 1.1 vorne) - fest, dass der Beschwerdeführer zu keiner Zeit für eine Berichterstattung des anderen Stiftungsrats betreffend dessen Kontrolltätigkeit zur Übereinstimmung von Ist und Soll sorgte. Die Berichterstattung erfolgt in der Regel quartalsweise und soll insbesondere Aufschluss über die getätigten Anlagen, den Anlageerfolg (je Anlagekategorie in Relation zum eingegangenen Risiko und im Vergleich mit dem Benchmark) sowie über die Einhaltung von Anlagestrategie und Anlagevorschriften geben ( GULLO, a.a.O., S. 49). Ausserdem hat die Vorinstanz - ebenfalls verbindlich (vgl. E. 1.1 vorne) - festgestellt, dass der Beschwerdeführer niemals der Frage nachgegangen ist, ob die Stiftung dem Vermögensverwalter überhaupt eine Anlagestrategie vorgegeben hatte (angefochtener Entscheid E. 4.7.1.5 S. 173), wie er auch nie den Bestand der Bankgarantie hinterfragt, vor allem nie kontrolliert hat, ob es die Garantie auch wirklich gab (a.a.O. E. 4.7.1.5 S. 174 oben). Damit liegt die Verletzung einer elementaren Sorgfaltspflicht vor, die seit Amtsantritt des rund 10-monatigen Mandats aktuell war und deren Wahrnehmung kein Zuwarten erlaubte. Die Ehrenamtlichkeit führt nicht dazu, dass die Pflichten weniger zu achten sind (SVR 2010 AHV Nr. 14 S. 52, 9C_145/2010 E. 5.3). Ein promptes Handeln drängte sich umso mehr auf, als sich die Aufgabenverteilung im Stiftungsrat auf keine reglementarische Grundlage resp. ordentliche Beschlussfassung mit klar umschriebenen Kompetenzen abstützen liess, sondern Folge gelebter Verhältnisse war, die nicht weiter definiert waren, wie die Vorinstanz für das Bundesgericht verbindlich (vgl. E. 1.1 vorne) festgestellt hat (a.a.O. E. 3.7.3 S. 42). Damit war von vornherein ein grosses Fragezeichen hinter die Rechtmässigkeit der Delegation zu setzen (vgl. Stiftungsstatut vom 1. Mai 2003 S. 3 Ziff. 5 und 6). Im Übrigen wird der Stiftungsrat auch im Rahmen der Delegation an einen Dritten nicht ohne weiteres von seiner Verantwortung entbunden. Auch diesfalls bleibt er für eine sorgfältige Überwachung zuständig (vgl. dazu PETER, a.a.O., S. 33 f.; ISABELLE VETTER-SCHREIBER, BVG, FZG: Kommentar, 3. Aufl. 2013, N. 26 zu Art. 52 BVG ; GULLO, a.a.O., S. 59-62).</w:t>
      </w:r>
    </w:p>
    <w:p>
      <w:r>
        <w:rPr>
          <w:b/>
        </w:rPr>
        <w:t>E. 7</w:t>
      </w:r>
    </w:p>
    <w:p>
      <w:r>
        <w:t>Vor dem Hintergrund des in E. 6 Gesagten stellt die Passivität des Beschwerdeführers ein grobfahrlässiges und schuldhaftes Verhalten dar. Allein sein Versäumnis auf der Kontrollebene (vgl. E. 6.2.3) ist als besonders gravierend anzusehen. Die entsprechende Unterlassung - der Beschwerdeführer hat keine Dokumente angefordert, aus denen hervorgegangen wäre, dass die Tätigkeit der Vermögensverwaltungsgesellschaften in regelmässigen Abständen auf die Anlageziele und -grundsätze kontrolliert wird - hat Raum für ein freies Agieren und einen fortgesetzten Abfluss der Stiftungsmittel geschaffen. Weiterungen bezüglich allfällig anderer Pflichtverletzungen bedarf es nicht.</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(vgl. E. 1.1 vorne). Nur wenn die hypothetische Kausalität ausschliesslich gestützt auf die allgemeine Lebenserfahrung - und nicht gestützt auf Beweismittel - festgestellt wird, unterliegt sie der freien Überprüfung durch das Bundesgericht ( BGE 132 III 305 E. 3.5 S. 311, 715 E. 2.3 S. 718 f.; 115 II 440 E. 5a S. 447 f.; je mit Hinweisen; im Strafrecht: Urteil 6B_779/2009 vom 12. April 2010 E. 3.3.2).</w:t>
      </w:r>
    </w:p>
    <w:p>
      <w:r>
        <w:rPr>
          <w:b/>
        </w:rPr>
        <w:t>E. 8.2</w:t>
      </w:r>
    </w:p>
    <w:p>
      <w:r>
        <w:t>Der Beschwerdeführer vertritt die Auffassung, die Vorinstanz habe sich zur Begründung des (hypothetischen und gleichzeitig adäquaten) Kausalzusammenhangs ausschliesslich auf die allgemeine Lebenserfahrung gestützt (E. 4.7.3 S. 191 des kantonalen Entscheids). Dessen ungeachtet kann - auch bei einer freien Prüfung - seiner Sicht der Dinge nicht gefolgt werden. Der Beschwerdeführer beruft sich im Wesentlichen darauf, dass das Betrugssystem, das um die Stiftung aufgebaut worden sei, auch bei pflichtgemässem Handeln nicht erkennbar gewesen wäre. Er übersieht dabei, dass er selber nicht durch strafrechtlich relevante Handlungen anderer (z.B. Betrug oder Urkundendelikte) daran gehindert wurde, seiner Kontrollpflicht nachzukommen, wie das kantonale Gericht für das Bundesgericht verbindlich festgestellt hat (a.a.O. E. 4.7.3.2 S. 192; vgl. E. 1.1 vorne). Die Wahrnehmung der in E. 6.2.3 vorne aufgezeigten Sorgfaltspflicht - Vergewisserung, dass die Anlageziele und -grundsätze bei der Umsetzung eingehalten werden - setzt belegte Kenntnisse über den Soll-Zustand (als Massstab und Ausgang der Kontrolle) voraus. Die diesbezügliche Informationsbeschaffung durch "hören sagen" wird ihr nicht gerecht. Die Überwachung der Vermögensanlage resp. Vermögensbewirtschaftung hat seit jeher "nachvollziehbar" zu erfolgen (vgl. Art. 49a Abs. 1 BVV 2 in den seit 1. Juli 1996 gültigen Fassungen), was schriftliche und verständliche Informationen bedingt. Wäre der Beschwerdeführer seiner Aufgabe nachgekommen, hätte er den dafür erforderlichen Grundlagen substanziiert nachgehen müssen. Dabei wäre er unweigerlich auf Diskrepanzen (bezüglich der Risikofähigkeit), auf Ungereimtheiten ("parallele" Vermögensverwaltung [S.________ Ltd. und U.________ AG plus L.________ AG]) sowie auf Lücken (fehlende Vorgaben [in der Anlage] und fehlende Reglemente resp. Beschlüsse [v.a. hinsichtlich der Organisation]) gestossen. Da diese Missstände das (finanzielle) Fundament der Stiftung betreffen, ist nach den Erfahrungen des Lebens und dem gewöhnlichen Lauf der Dinge überwiegend wahrscheinlich, dass der Beschwerdeführer schon wegen der besagten Lücken (fehlende Vorgaben [in der Anlage] und fehlende Reglemente resp. Beschlüsse [v.a. hinsichtlich der Organisation]), die leicht und rasch auszumachen gewesen wären, umgehend eingegriffen hätte, und damit der Abfluss weiterer Stiftungsmittel verhindert worden wäre. Von Anfang an demonstrierte Aufmerksamkeit und beharrliches Pochen auf Reglements- und Gesetzesmässigkeit hätten den bestehenden Freiraum (vgl. E. 7 vorne) prompt geschlossen. Im äussersten Fall hätte der Beschwerdeführer die Stiftung bei der Aufsichtsbehörde verzeigt, die unverzüglich eingeschritten wäre (vgl. SZS 2012 S. 374, 9C_823/2011 E. 2.2). Denn es standen offensichtlich, anders als in anderer (fallbezogener) Angelegenheit, in der die Aufsichtsbehörde scheinbar eine abwartende Haltung eingenommen hatte, die vitalen Interessen der Stiftung auf dem Spiel.</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Soweit der Beschwerdeführer sinngemäss vorbringt, er habe wegen des "komplexen Lügengebäudes" keinen Handlungsbedarf erkennen können, lässt er ausser Acht, dass dieser "zweitrangig" ist und sich erst nach Ausübung der obliegenden Sorgfaltspflicht resp. nach Analyse der sich dabei präsentierenden Sachlage stellt. Abgesehen davon kann hinsichtlich des hier fraglichen Aufgabenbereichs (vgl. E. 6.2.3 vorne) eine Irreführung durch deliktisches Handeln ausgeschlossen werden (vgl. E. 8.2 vorne). Zudem erweist sich die Sorgfaltspflichtverletzung, die der Beschwerdeführer begangen hat und ausschliesslich in seinem Verantwortungsbereich anzusiedeln ist, als derart grundlegend (vgl. E. 6.2.3 und E. 8.2 vorne), dass sie selbst bei - ebenfalls (vgl. E. 7 vorne) - grobem pflichtwidrigem Verhalten weiterer Protagonisten nicht komplett in den Hintergrund gedrängt resp. zur absoluten Bedeutungslosigkeit degradiert wird.</w:t>
      </w:r>
    </w:p>
    <w:p>
      <w:r>
        <w:rPr>
          <w:b/>
        </w:rPr>
        <w:t>E. 9</w:t>
      </w:r>
    </w:p>
    <w:p>
      <w:r>
        <w:t>Zusammenfassend sind sämtliche Haftungsvoraussetzungen von Art. 52 Abs. 1 bzw. Art. 56a BVG erfüllt. Es ist sowohl ein Schaden (E. 5) als auch eine Sorgfaltspflichtverletzung (E. 6) sowie ein Verschulden (E. 7) und ein adäquater Kausalzusammenhang (E. 8) gegeben. Zu prüfen bleibt, für welchen Schadensbetrag der Beschwerdeführer vom Sicherheitsfonds belangt werden kann.</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 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VETTER-SCHREIBER, a.a.O., N. 3 zu Art. 56a BVG ), welche Bestimmung im vorliegend zu erörternden Punkt vor allem interessiert, da sie - was den haftpflichtigen Personenkreis betrifft - über die Organhaftung hinaus geht (vgl. E. 3.2.1 Abs. 2 vorne).</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m.H.a. BGE 132 III 564 E. 7 S. 577 f.; GERICKE/WALLER, in: Basler Kommentar, Obligationenrecht, Bd. II, 4. Aufl. 2012, N. 4 zu Art. 759 OR ). Es kann (weiterhin) offen 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Trigo Trindade/Anderson [Hrsg.], Institutions de prévoyance: devoirs et responsabilité civile, 2006, S. 161 f.). Das kantonale Gericht hat einlässlich dargelegt, dass kein Herabsetzungsgrund nach Art. 43 Abs. 1 OR und dem hier in Frage kommenden Art. 44 Abs. 2 OR besteht (E. 4.7.4.2 S. 202 f. des vorinstanzlichen Entscheids). Ihm kommt dabei ein weites Ermessen zu ( BGE 131 III 12 E. 4.2 S. 15 mit Hinweis), bei dessen Überprüfung das Bundesgericht Zurückhaltung übt.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131 III 12 E. 4.2 S. 15). Davon kann hier - insbesondere in Anbetracht von E. 7 vorne - nicht die Rede sein.</w:t>
      </w:r>
    </w:p>
    <w:p>
      <w:r>
        <w:rPr>
          <w:b/>
        </w:rPr>
        <w:t>E. 9.3</w:t>
      </w:r>
    </w:p>
    <w:p>
      <w:r>
        <w:t>Die Vorinstanz beziffert den Schaden, für den der Beschwerdeführer in zeitlicher Hinsicht verantwortlich zeichnet, auf Fr. 3'600'000.- (E. 4.7.5 S. 203 des vorinstanzlichen Entscheids). Diese Summe ist rechnerisch unbestritten. Zwar ging das kantonale Gericht - entgegen E. 6.1 vorne - von einer Anrechenbarkeit erst ab 1. Februar 2006 aus (a.a.O. E. 4.7.5 S. 203). Das Bundesgericht hat sich jedoch an die Begehren der Parteien zu halten ( Art. 107 Abs. 1 BGG ).</w:t>
      </w:r>
    </w:p>
    <w:p>
      <w:r>
        <w:rPr>
          <w:b/>
        </w:rPr>
        <w:t>E. 10</w:t>
      </w:r>
    </w:p>
    <w:p>
      <w:r>
        <w:t>Damit erweist sich die Beschwerde insgesamt als unbegründet und ist abzuweisen. Indes ist die vorinstanzliche Dispositiv-Ziffer 1 im Sinne der - ebenfalls heute ergangenen - Urteile 9C_248/2014 E. 9.4 und 9C_230/2014 von Amtes wegen abzuändern.</w:t>
      </w:r>
    </w:p>
    <w:p>
      <w:r>
        <w:rPr>
          <w:b/>
        </w:rPr>
        <w:t>E. 11</w:t>
      </w:r>
    </w:p>
    <w:p>
      <w:r>
        <w:t>Die elf Beschwerdeverfahren, welche ein und denselben angefochtenen Entscheid betreffen, wurden zwar nicht formell vereinigt (vgl. Urteil 9C_246/2014 E. 2.1). Dennoch sind die jeweiligen Gerichtskosten auf der Grundlage einer gesamthaften Gerichtsgebühr (für alle elf Verfahren zusammen) von rund Fr. 50'000.- festzusetzen ( Art. 65 BGG ; Tarif für die Gerichtsgebühren im Verfahren vor dem Bundesgericht [SR 173.110.210.1]). Dem Verfahrensausgang entsprechend gehen die (anteilsmässigen) Gerichtskosten zu Lasten des Beschwerdeführers ( Art. 66 Abs. 1 Satz 1 BGG ). Dem anwaltlich nicht vertretenen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