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9C_266/2015 vom 3. November 2015</w:t>
      </w:r>
    </w:p>
    <w:p>
      <w:r>
        <w:t>Bundesgericht, 2015-11-03, DE</w:t>
      </w:r>
    </w:p>
    <w:p>
      <w:r>
        <w:rPr>
          <w:b/>
        </w:rPr>
        <w:t xml:space="preserve">Quelle: </w:t>
      </w:r>
      <w:r>
        <w:t>https://mcp.opencaselaw.ch/entscheid/bger_9C_266_2015</w:t>
      </w:r>
    </w:p>
    <w:p>
      <w:r>
        <w:t>FR: TF 9C_266/2015 du 3 novembre 2015</w:t>
      </w:r>
    </w:p>
    <w:p>
      <w:r>
        <w:t>IT: TF 9C_266/2015 del 3 novembre 2015</w:t>
      </w:r>
    </w:p>
    <w:p>
      <w:pPr>
        <w:pStyle w:val="Heading2"/>
      </w:pPr>
      <w:r>
        <w:t>Erwägungen</w:t>
      </w:r>
    </w:p>
    <w:p>
      <w:r>
        <w:rPr>
          <w:b/>
        </w:rPr>
        <w:t>E. 1</w:t>
      </w:r>
    </w:p>
    <w:p>
      <w:r>
        <w:t>Das Bundesgericht prüft die Zulässigkeit eines Rechtsmittels von Amtes wegen und mit freier Kognition ( BGE 138 V 318 E. 6 Ingress S. 320 mit Hinweis; Urteil 8C_122/2014 vom 18. August 2014 E. 1, in: SVR 2015 MV Nr. 1 S. 1).</w:t>
      </w:r>
    </w:p>
    <w:p>
      <w:r>
        <w:rPr>
          <w:b/>
        </w:rPr>
        <w:t>E. 1.1</w:t>
      </w:r>
    </w:p>
    <w:p>
      <w:r>
        <w:t>Die Beschwerdeführerin hat es in Ziff. 1 ihres Antrags unterlassen, den genauen Betrag zu nennen, zu deren Bezahlung die Beschwerdegegnerin 2 verpflichtet werden soll. Ihre Eingabe vom 26. April 2015, mit welcher sie eine entsprechende Ergänzung vornehmen lässt (Forderungsbetrag von Fr. 22'037.50), ist nach Ablauf der 30-tägigen Beschwerdefrist und damit verspätet erfolgt.</w:t>
      </w:r>
    </w:p>
    <w:p>
      <w:r>
        <w:rPr>
          <w:b/>
        </w:rPr>
        <w:t>E. 1.2.1</w:t>
      </w:r>
    </w:p>
    <w:p>
      <w:r>
        <w:t>Gemäss Art. 42 Abs. 1 BGG sind Rechtsschriften in einer Amtssprache abzufassen und haben u.a. die Begehren zu enthalten. Es ist deshalb grundsätzlich ein präziser Antrag zur Sache (beispielsweise durch die genaue Bezifferung der Geldsumme, zu deren Bezahlung die Gegenpartei verurteilt werden soll) zu stellen ( BGE 134 III 235 E. 2 S. 236 f., 379 E. 1.3 S. 383 f.; 133 III 489 E. 3 S. 489 f.; je mit Hinweisen; Urteil 9C_104/2007 vom 20. August 2007 E. 10.2, in: SVR 2008 BVG Nr. 18 S. 69). Das Begehren umschreibt den Umfang des Rechtsstreits und sollte so formuliert werden, dass es bei Gutheissung der Beschwerde zum Urteil erhoben werden kann (Laurent Merz, in: Basler Kommentar, Bundesgerichtsgesetz, 2. Aufl. 2011, N. 15 zu Art. 42 BGG ). Allerdings genügt es, wenn sich aus der Beschwerdebegründung, allenfalls in Verbindung mit dem angefochtenen Entscheid, ohne Weiteres ergibt, welchen Geldbetrag die beschwerdeführende Partei von der Gegenpartei verlangt ( BGE 134 III 235 E. 2 S. 236; 125 III 412 E. 1b S. 414 f. mit Hinweisen).</w:t>
      </w:r>
    </w:p>
    <w:p>
      <w:r>
        <w:rPr>
          <w:b/>
        </w:rPr>
        <w:t>E. 1.2.2</w:t>
      </w:r>
    </w:p>
    <w:p>
      <w:r>
        <w:t>Den ausführlichen Erläuterungen in der Beschwerde, namentlich der auf S. 28 der Eingabe enthaltenen Aufstellung, kann der präzise Forderungsbetrag klar entnommen werden ("Vorsorgeausgleich zu Lasten Ehemann somit: Fr. 22'037.50"). Nach dem hievor Dargelegten ist deshalb - entgegen der vom Beschwerdegegner 1 letztinstanzlich vertretenen Sichtweise - auf die Beschwerde einzutreten.</w:t>
      </w:r>
    </w:p>
    <w:p>
      <w:r>
        <w:rPr>
          <w:b/>
        </w:rPr>
        <w:t>E. 2</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unvollständige Sachverhaltsfeststellung stellt eine vom Bundesgericht ebenfalls zu korrigierende Rechtsverletzung im Sinne von Art. 95 lit. a BGG dar (Urteil 9C_43/2009 vom 7. Juli 2009 E. 1.1 mit Hinweis). Es wendet das Recht von Amtes wegen an ( Art. 106 Abs. 1 BGG ; vgl. dazu BGE 132 II 257 E. 2.5 S. 262; 130 III 136 E. 1.4 S. 140). Es ist somit weder an die in der Beschwerde geltend gemachten Argumente noch an die Erwägungen der Vorinstanz gebunden. Es kann eine Beschwerde aus einem anderen als dem angerufenen Grund gutheissen oder mit einer von der Argumentation der Vorinstanz abweichenden Begründung abweisen (Urteil 9C_294/2007 vom 10. Oktober 2007 E. 2 mit Hinweis, in: SVR 2008 IV Nr. 25 S. 76; vgl. BGE 132 II 257 E. 2.5 S. 262; 130 III 136 E. 1.4 S. 140).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mit Hinweisen).</w:t>
      </w:r>
    </w:p>
    <w:p>
      <w:r>
        <w:rPr>
          <w:b/>
        </w:rPr>
        <w:t>E. 3</w:t>
      </w:r>
    </w:p>
    <w:p>
      <w:r>
        <w:t>Streitig ist die Höhe der zu teilenden Austrittsleistung des Beschwerdegegners 1. Hingegen steht fest und ist unbestritten, dass für die Beschwerdeführerin ein Freizügigkeitsguthaben im Betrag von Fr. 29'218.15 (inkl. Zins) anzurechnen ist.</w:t>
      </w:r>
    </w:p>
    <w:p>
      <w:r>
        <w:rPr>
          <w:b/>
        </w:rPr>
        <w:t>E. 4.1</w:t>
      </w:r>
    </w:p>
    <w:p>
      <w:r>
        <w:t>Bei Ehescheidungen werden die für die Ehedauer zu ermittelnden Austrittsleistungen nach den Art. 122 und 123 ZGB sowie den Art. 280 und 281 ZPO geteilt (Art. 22 Abs. 1 Teilsatz 1 FZG).</w:t>
      </w:r>
    </w:p>
    <w:p>
      <w:r>
        <w:rPr>
          <w:b/>
        </w:rPr>
        <w:t>E. 4.2</w:t>
      </w:r>
    </w:p>
    <w:p>
      <w:r>
        <w:t>Gehört ein Ehegatte oder gehören beide Ehegatten einer Einrichtung der beruflichen Vorsorge an und ist bei keinem Ehegatten ein Vorsorgefall eingetreten, so hat jeder Ehegatte Anspruch auf die Hälfte der nach dem FZG für die Ehedauer zu ermittelnden Austrittsleistung des anderen Ehegatten. Stehen den Ehegatten gegenseitig Ansprüche zu, so ist nur der Differenzbetrag zu ermitteln ( Art. 122 Abs. 1 und 2 ZGB ).</w:t>
      </w:r>
    </w:p>
    <w:p>
      <w:r>
        <w:rPr>
          <w:b/>
        </w:rPr>
        <w:t>E. 4.2.1</w:t>
      </w:r>
    </w:p>
    <w:p>
      <w:r>
        <w:t>Die zu teilende Austrittsleistung eines Ehegatten entspricht der Differenz zwischen der Austrittsleistung zuzüglich allfälliger Freizügigkeitsguthaben im Zeitpunkt der Ehescheidung und der Austrittsleistung zuzüglich allfälliger Freizügigkeitsguthaben im Zeitpunkt der Eheschliessung. Für diese Berechnung sind die Austrittsleistung und das Freizügigkeitsguthaben im Zeitpunkt der Eheschliessung auf den Zeitpunkt der Ehescheidung aufzuzinsen. Barauszahlungen während der Ehedauer werden nicht berücksichtigt ( Art. 22 Abs. 2 FZG ). Letztere sind nach Massgabe von Art. 124 ZGB zu entschädigen ( BGE 127 III 433 ).</w:t>
      </w:r>
    </w:p>
    <w:p>
      <w:r>
        <w:rPr>
          <w:b/>
        </w:rPr>
        <w:t>E. 4.2.2</w:t>
      </w:r>
    </w:p>
    <w:p>
      <w:r>
        <w:t>Haben die Ehegatten vor dem 1. Januar 1995 geheiratet, so wird die Austrittsleistung im Zeitpunkt der Eheschliessung auf Grund einer vom Eidgenössischen Departement des Innern (EDI) erstellten Tabelle berechnet. Hat jedoch ein Ehegatte seit der Eheschliessung bis zum 1. Januar 1995 nie die Vorsorgeeinrichtung gewechselt und steht fest, wie hoch nach neuem Recht die Austrittsleistung im Zeitpunkt der Eheschliessung gewesen wäre, so ist dieser Betrag für die Berechnung nach Art. 22 Abs. 2 FZG massgebend ( Art. 22a Abs. 1 FZG ; Verordnung des EDI über die Tabelle zur Berechnung der Austrittsleistung nach Artikel 22a des Freizügigkeitsgesetzes vom 24. November 1999, SR 831.425.4; Mitteilungen des BSV über die berufliche Vorsorge Nr. 47 vom 22. November 1999).</w:t>
      </w:r>
    </w:p>
    <w:p>
      <w:r>
        <w:t>Bei einer Verheiratung vor Inkrafttreten des FZG ist die Höhe der Austrittsleistung nicht bekannt. Allenfalls könnte die Höhe einer unbekannten Austrittsleistung annäherungsweise ermittelt werden, wenn Zugriff auf die Versicherungsdaten der Vorsorgeeinrichtung und Kenntnis beispielsweise bezüglich der Höhe des Alterskapitals zu Jahresbeginn oder -ende besteht. Doch ist ein derartiges Vorgehen vom Gesetzgeber nicht gewollt. Ausdrücklich wurde in der bundesrätlichen Botschaft (über die Änderung des Schweizerischen Zivilgesetzbuches [Personenstand, Eheschliessung, Scheidung, Kindesrecht, Verwandtenunterstützungspflicht, Heimstätten, Vormundschaft und Ehevermittlung] vom 15. November 1995, BBl 1996 I 1 ff.) festgehalten, dass nicht massgebend sein könne, was ein Ehegatte zum Zeitpunkt der Eheschliessung auf Grund der damaligen gesetzlichen Grundlage oder eines Reglements bei einem Wechsel der Vorsorgeeinrichtung als Austrittsleistung tatsächlich erhalten hätte. Dies stellte einen rein hypothetischen Betrag dar, denn vor Einführung des FZG per 1. Januar 1995 habe die Freizügigkeitsleistung nur einen beschränkten Zusammenhang mit der Anwartschaft auf künftige Vorsorgeleistungen gehabt. Um eine mit der Austrittsleistung im Scheidungszeitpunkt vergleichbare Grösse zu erhalten, sei die Austrittsleistung somit auch für den Zeitpunkt der Eheschliessung nach dem neuen FZG zu berechnen (vgl. BBl 1996 I 108 Ziff. 233.442).</w:t>
      </w:r>
    </w:p>
    <w:p>
      <w:r>
        <w:rPr>
          <w:b/>
        </w:rPr>
        <w:t>E. 4.2.3</w:t>
      </w:r>
    </w:p>
    <w:p>
      <w:r>
        <w:t>Muss die Höhe der Austrittsleistung für einen Eheschluss vor dem 1. Januar 1995 ermittelt werden, ist demnach unterschiedlich zu verfahren je nachdem, ob die versicherte Person die Vorsorgeeinrichtung gewechselt hat oder nicht.</w:t>
      </w:r>
    </w:p>
    <w:p>
      <w:r>
        <w:rPr>
          <w:b/>
        </w:rPr>
        <w:t>E. 4.2.3.1</w:t>
      </w:r>
    </w:p>
    <w:p>
      <w:r>
        <w:t>Fand kein Wechsel der Vorsorgeeinrichtung statt und verfügt die Vorsorgeeinrichtung noch über die nötigen Unterlagen, so kann nach den Bestimmungen des FZG und den bei der Scheidung geltenden Reglementen der Vorsorgeeinrichtung die Freizügigkeitsleistung für den Zeitpunkt der Heirat zurückberechnet werden. Dieser Wert ist alsdann von der aktuellen Austrittsleistung in Abzug zu bringen.</w:t>
      </w:r>
    </w:p>
    <w:p>
      <w:r>
        <w:rPr>
          <w:b/>
        </w:rPr>
        <w:t>E. 4.2.3.2</w:t>
      </w:r>
    </w:p>
    <w:p>
      <w:r>
        <w:t>Ist hingegen die Vorsorgeeinrichtung gewechselt worden, muss die Austrittsleistung anhand der erwähnten Tabelle ermittelt werden. In der Regel werden die Unterlagen diesfalls nicht mehr vollständig vorhanden sein, sodass nicht genau berechnet werden kann, wie hoch die Austrittsleistung nach dem neuen Recht im Zeitpunkt der Heirat tatsächlich gewesen wäre. Im Interesse der Praktikabilität soll deshalb von Annäherungswerten ausgegangen werden, die auf Grund einer vom EDI erstellten Tabelle zu berechnen sind. Diese beruhen auf Durchschnittswerten und können im Einzelfall von den tatsächlichen Beträgen abweichen. Um umfangreiche Beweiserhebungen zu vermeiden, die häufig trotzdem wohl nicht zu klaren Resultaten führen dürften, lässt das FZG den Beweis nicht zu, dass die Austrittsleistung einen höheren oder niedrigeren Wert als den nach der Tabelle errechneten hat. Die Anwendung der durch die Tabellen vorgezeichneten - schematisierten - Berechnungsweise ist zwingend. Dies gilt auch für den Fall, dass zwar kein Wechsel der Vorsorgeeinrichtung stattgefunden hat, diese aber nicht in der Lage ist, die Austrittsleistung bei Eheschluss nach FZG zu berechnen (BBl 1996 I 108 Ziff. 233.442; ferner Hans-Ulrich Stauffer, Berufliche Vorsorge, 2005, N. 1215 ff.; Ivo Schwegler, Vorsorgeausgleich bei Scheidung aus sozialversicherungsrechtlicher Sicht, in: ZBJV 2010 S. 77 ff., insb. S. 91 f.).</w:t>
      </w:r>
    </w:p>
    <w:p>
      <w:r>
        <w:rPr>
          <w:b/>
        </w:rPr>
        <w:t>E. 4.3</w:t>
      </w:r>
    </w:p>
    <w:p>
      <w:r>
        <w:t>Können sich die Ehegatten über die bei der Ehescheidung zu übertragende Austrittsleistung ( Art. 122, 123 ZGB ) nicht einigen, so hat das gemäss Art. 25a Abs. 1 FZG am Ort der Scheidung zuständige Berufsvorsorgegericht nach Art. 73 Abs. 1 BVG gestützt auf den vom Scheidungsgericht bestimmten Teilungsschlüssel die Teilung von Amtes wegen durchzuführen, nachdem ihm die Streitsache überwiesen worden ist ( Art. 281 Abs. 3 ZPO ). Dabei stellt es den Sachverhalt von Amtes wegen fest ( Art. 73 Abs. 2 BVG ).</w:t>
      </w:r>
    </w:p>
    <w:p>
      <w:r>
        <w:rPr>
          <w:b/>
        </w:rPr>
        <w:t>E. 5.1</w:t>
      </w:r>
    </w:p>
    <w:p>
      <w:r>
        <w:t>Gestützt auf die Mitteilungen der Beschwerdegegnerin 2 vom 23. Juli 2013 und 3. September 2014 bezifferte die Vorinstanz das Guthaben des Beschwerdegegners 1 bei Rechtskraft des Scheidungsurteils am 15. August 2013 auf Fr. 84'033.20. Von diesem Betrag in Abzug brachte sie die Austrittsleistung im Zeitpunkt der Eheschliessung am 14. Mai 1993 in der Höhe von Fr. 21'844.- und den vom 14. Mai 1993 bis 15. August 2013 aufgelaufenen Zins von Fr. 18'637.65 (Total von Fr. 40'481.65), woraus eine zu teilende Austrittsleistung von Fr. 43'551.55 resultierte. Per Saldo wurde auf dieser Basis ein Vorsorgeanspruch der Beschwerdeführerin von - nach den massgeblichen Ansätzen zu verzinsenden - Fr. 7'166.70 ermittelt.</w:t>
      </w:r>
    </w:p>
    <w:p>
      <w:r>
        <w:rPr>
          <w:b/>
        </w:rPr>
        <w:t>E. 5.2</w:t>
      </w:r>
    </w:p>
    <w:p>
      <w:r>
        <w:t>In Bezug auf die Austrittsleistung im Zeitpunkt der Eheschliessung ist zu beachten, dass die Ehe am 14. Mai 1993 und damit vor dem 1. Januar 1995 geschlossen wurde. Art. 22a FZG gelangt daher grundsätzlich zur Anwendung. Weder aus dem angefochtenen Entscheid noch sonst wie ist indessen ersichtlich, dass die Tabelle des EDI berücksichtigt worden wäre.</w:t>
      </w:r>
    </w:p>
    <w:p>
      <w:r>
        <w:rPr>
          <w:b/>
        </w:rPr>
        <w:t>E. 5.2.1</w:t>
      </w:r>
    </w:p>
    <w:p>
      <w:r>
        <w:t>Dass im Sinne des Ausnahmetatbestandes von Art. 22a Abs. 1 Satz 2 FZG auf eine entsprechende tabellarische Berechnung verzichtet werden konnte, ergibt sich für die Beschwerdeführerin aus der Tatsache (vgl. Art. 105 Abs. 2 BGG ), dass sie ihre langjährige Anstellung bei der ehemaligen E.________ AG Ende Februar 1994 aufgegeben und jedenfalls bis 1. Januar 1995 keine neue Erwerbstätigkeit mehr aufgenommen hatte. Ihr vorehelich geäufnetes Vorsorgeguthaben wurde ihr gemäss damals geltendem Vorsorgerecht, wonach die Aufgabe der Erwerbstätigkeit einer Verheirateten einen Barauszahlungstatbestand darstellte (vgl. Art. 30 Abs. 2 lit. c aBVG, aufgehoben mit Inkrafttreten des FZG auf 1. Januar 1995), per Valuta 27. Oktober 1994 im Betrag von Fr. 120'000.- als Freizügigkeitsleistung ausbezahlt.</w:t>
      </w:r>
    </w:p>
    <w:p>
      <w:r>
        <w:rPr>
          <w:b/>
        </w:rPr>
        <w:t>E. 5.2.2</w:t>
      </w:r>
    </w:p>
    <w:p>
      <w:r>
        <w:t>Hinsichtlich des Beschwerdegegners 1 enthält der angefochtene Entscheid keine Feststellungen darüber, ob im massgeblichen Zeitraum vom 14. Mai 1993 bis 1. Januar 1995 ein Wechsel der Vorsorgeeinrichtung stattgefunden hat oder nicht. Die nach neuem Recht zu bestimmende Austrittsleistung im Zeitpunkt der Heirat hat die Vorinstanz ohne nähere Erläuterungen im Sinne des hievor Dargelegten basierend auf den in der Eingabe der Beschwerdegegnerin 2 vom 23. Juli 2013 enthaltenen - und mit Schreiben vom 3. September 2014 implizit bestätigten - Auskünften auf Fr. 21'844.- beziffert. Sie lässt dabei unbeachtet, dass die Beschwerdegegnerin 2 am 15. Februar 2013 schriftlich eingeräumt hatte, anhand der gegenwärtig bekannten Angaben könne nicht schlüssig festgestellt werden, ob bei Eheschliessung am 14. Mai 1993 eine Austrittsleistung von Fr. 21'844.- bestanden habe. Auch sehe sie sich ausserstande zu bescheinigen, dass in der Austrittsleistung ein voreheliches Guthaben enthalten sei. Überdies kann den aktenkundigen Unterlagen einzig entnommen werden, dass der Beschwerdegegner 1 im Zeitraum vom 1. Januar 1992 bis 30. September 1993 bei der Firma G.________ AG sowie vom 1. Januar 1995 bis 31. Januar 1997 bei den Unternehmungen H.________ AG und I.________ GmbH, allesamt Vorsorgewerk Swiss Life, angestellt gewesen war. Während in einer vorinstanzlich am 21. Oktober 2013 durch den Beschwerdegegner 1 beigebrachten Aufstellung für den Zeitraum vom 1. Januar 1991 bis 31. Dezember 1994 als Arbeitgeberin zusätzlich die Firma J.________ aufgeführt ist, findet sich kein derartiger Vermerk in der Auflistung der Beschwerdeführerin vom 8. März 2014. Auch das Schreiben der Beschwerdegegnerin 2 vom 11. Januar 2013 zuhanden des geschiedenen Ehegatten beinhaltet lediglich den Hinweis, dass die Transparenzaufstellung zur Freizügigkeitsleistung per Heirat am 14. Mai 1993 aus der beiliegenden "Entwicklung Altersguthaben und Beiträge" für die Zeit vom 1. Januar 1992 bis 1. Oktober 1993 ersichtlich sei. Der Beschwerdegegner 1 habe in diesem Zeitraum für die Firma G.________ AG gearbeitet.</w:t>
      </w:r>
    </w:p>
    <w:p>
      <w:r>
        <w:t>Insgesamt ist aus den vorhandenen Unterlagen somit nicht abschliessend beurteilbar, ob der Beschwerdegegner 1 während des Zeitraums vom 14. Mai 1993 (Eheschliessung) bis zum Inkrafttreten des FZG am 1. Januar 1995 die Vorsorgeeinrichtung gewechselt hat. Namentlich lassen sich der Aktenlage diesbezüglich keine verlässlichen Angaben für die Zeit vom 1. Oktober 1993 bis Ende 1994 entnehmen. Da die Beschwerdegegnerin 2 in Bezug auf die für den Zeitpunkt der Heirat ausgewiesene, FZG-konforme Austrittsleistung des geschiedenen Ehegatten zudem selber gewisse Zweifel anmeldet, könnte selbst für den Fall, dass in der massgeblichen Zeitspanne kein weiterer Wechsel der Vorsorgeeinrichtung stattgefunden hätte, nicht unbesehen auf deren Auskünfte abgestellt werden. Die Angelegenheit ist vor diesem Hintergrund an das kantonale Gericht zurückzuweisen, damit es den Sachverhalt nach Massgabe von Art. 73 Abs. 2 BVG entsprechend vervollständige. Es wird hernach gestützt entweder auf den konkret ermittelten Betrag im Sinne von Art. 22a Abs. 1 Satz 2 FZG oder die tabellarischen Ansätze gemäss Art. 22a Abs. 1 Satz 1 FZG die Austrittsleistung des Beschwerdegegners 1 im Zeitpunkt der Eheschliessung der Parteien nach Art. 22 Abs. 2 FZG korrekt festsetzen.</w:t>
      </w:r>
    </w:p>
    <w:p>
      <w:r>
        <w:rPr>
          <w:b/>
        </w:rPr>
        <w:t>E. 6.1</w:t>
      </w:r>
    </w:p>
    <w:p>
      <w:r>
        <w:t>Die Rückweisung der Sache an die Vorinstanz zu erneuter Abklärung (mit noch offenem Ausgang) gilt für die Frage der Auferlegung der Gerichtskosten wie auch der Parteientschädigung als vollständiges Obsiegen im Sinne von Art. 66 Abs. 1 sowie Art. 68 Abs. 1 und 2 BGG , unabhängig davon, ob sie beantragt und ob das entsprechende Begehren im Haupt- oder im Eventualantrag gestellt wird ( BGE 137 V 210 E. 7.1 S. 271 mit Hinweisen).</w:t>
      </w:r>
    </w:p>
    <w:p>
      <w:r>
        <w:rPr>
          <w:b/>
        </w:rPr>
        <w:t>E. 6.2</w:t>
      </w:r>
    </w:p>
    <w:p>
      <w:r>
        <w:t>Dementsprechend haben der Beschwerdegegner 1 und die Beschwerdegegnerin 2- jeweils zu gleichen Teilen und unter solidarischer Haftung - die Gerichtskosten zu tragen ( Art. 66 Abs. 1 Satz 1 und Abs. 5 BGG ) und der anwaltlich vertretenen Beschwerdeführerin eine Parteientschädigung zu bezahlen ( Art. 68 Abs. 2 und 4 BGG ).</w:t>
      </w:r>
    </w:p>
    <w:p>
      <w:r>
        <w:rPr>
          <w:b/>
        </w:rPr>
        <w:t>E. 6.2.1</w:t>
      </w:r>
    </w:p>
    <w:p>
      <w:r>
        <w:t>Nach Art. 68 BGG und Art. 2 des Reglements über die Parteientschädigung und die Entschädigung für die amtliche Vertretung im Verfahren vor dem Bundesgericht vom 31. März 2006 (SR 173.110.210.3) umfasst die Parteientschädigung die Anwaltskosten und die notwendigen Auslagen für die Prozessführung, wobei sich die Anwaltskosten aus dem Anwaltshonorar und dem Auslagenersatz zusammensetzen. Nach bundesgerichtlicher Praxis wird für einen Normalfall Fr. 2'800.- zugesprochen, Auslagen und Mehrwertsteuer inbegriffen (Urteil 9C_377/2014 vom 10. Februar 2015 E. 5.2 mit diversen Hinweisen, in: SZS 2015 S. 271).</w:t>
      </w:r>
    </w:p>
    <w:p>
      <w:r>
        <w:rPr>
          <w:b/>
        </w:rPr>
        <w:t>E. 6.2.2</w:t>
      </w:r>
    </w:p>
    <w:p>
      <w:r>
        <w:t>Die Parteientschädigung ist entgegen der vom Rechtsvertreter der Beschwerdeführerin eingereichten Honorarnote vom 31. Juli 2015 nicht auf Fr. 4'449.60 festzusetzen. Darin wird insbesondere das (pauschal) geltend gemachte "Grundhonorar" von Fr. 4'000.- nicht näher spezifiziert; zudem fehlen Ausführungen zur Wichtigkeit der Streitsache und zum Umfang der Arbeitsleistung (vgl. Art. 3 Abs. 1 und 3 des genannten Reglements). Mit Blick darauf, dass die Streitsache nicht als überaus schwierig einzustufen ist, erscheint eine Entschädigung in praxisgemässer Höhe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