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265/2012 vom 12. Oktober 2012</w:t>
      </w:r>
    </w:p>
    <w:p>
      <w:r>
        <w:t>Bundesgericht, 2012-10-12, FR</w:t>
      </w:r>
    </w:p>
    <w:p>
      <w:r>
        <w:rPr>
          <w:b/>
        </w:rPr>
        <w:t xml:space="preserve">Quelle: </w:t>
      </w:r>
      <w:r>
        <w:t>https://mcp.opencaselaw.ch/entscheid/bger_9C_265_2012</w:t>
      </w:r>
    </w:p>
    <w:p>
      <w:r>
        <w:t>FR: TF 9C 265/2012 du 12 octobre 2012</w:t>
      </w:r>
    </w:p>
    <w:p>
      <w:r>
        <w:t>IT: TF 9C 265/2012 del 12 ottobre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estimé que l'octroi à l'intimée d'un second fauteuil manuel était conforme à la loi, dès lors qu'elle en avait besoin pour se déplacer, établir des contacts avec son entourage ou développer son autonomie personnelle. En effet, il n'était pas contesté que depuis 2003, l'intimée ne pouvait plus se mettre debout et devait utiliser un fauteuil manuel dans son logement et un fauteuil électrique pour se déplacer à l'extérieur. Or, l'office AI n'avait pas tenu compte de l'impossibilité pour l'assurée de se déplacer dans les logements des membres de sa famille, de ses amis et de certains de ses médecins. Ainsi, sans fauteuil manuel, l'intimée ne pouvait pas se rendre au toilettes ou passer du salon à la table du repas lorsqu'elle était en visite. Il était également évident qu'elle n'était pas en mesure de porter le fauteuil roulant manuel qui se trouvait à son domicile, tout en se déplaçant dans son fauteuil électrique pour se rendre à sa voiture, puis charger les deux fauteuils dans celle-ci, pour utiliser le fauteuil manuel chez ses proches, étant précisé qu'elle ne pouvait pas non plus accéder à sa voiture avec le fauteuil manuel qui était à son domicile, la rampe d'accès à son garage étant trop raide pour qu'elle puisse la monter avec son fauteuil manuel. Dans la mesure où l'intimée vivait seule, il était particulièrement important qu'elle puisse rendre visite à des proches et qu'elle puisse le faire de façon autonome. Le fauteuil manuel à disposition dans la voiture correspondait donc bien plus à une nécessité qu'à une amélioration de son confort personnel.</w:t>
      </w:r>
    </w:p>
    <w:p>
      <w:r>
        <w:rPr>
          <w:b/>
        </w:rPr>
        <w:t>E. 2.2</w:t>
      </w:r>
    </w:p>
    <w:p>
      <w:r>
        <w:t>L'office recourant reproche à la juridiction cantonale d'avoir violé le droit fédéral et procédé à une constatation manifestement inexacte des faits pertinents consécutive à une mauvaise appréciation des preuves, en considérant que l'intimée avait besoin d'un second fauteuil roulant manuel pour se déplacer, établir des contacts avec son entourage ou développer son autonomie personnelle. Avec un fauteuil roulant électrique pour ses déplacements à l'extérieur et un fauteuil roulant manuel pour ses déplacements à l'intérieur, l'intimée disposait de l'ensemble des moyens auxiliaires simples et adéquats pour se déplacer et entretenir des contacts avec son entourage; le renouvellement d'un second fauteuil roulant manuel excédait le cadre matériel des prestations pouvant être prises en charge par l'assurance-invalidité et constituait uniquement une mesure d'amélioration de son confort. Selon la jurisprudence, un assuré n'avait toutefois aucun droit à se voir accorder un moyen auxiliaire de l'assurance-invalidité lui permettant de se déplacer dans tous les lieux ou dans toutes les pièces d'un logement tiers.</w:t>
      </w:r>
    </w:p>
    <w:p>
      <w:r>
        <w:rPr>
          <w:b/>
        </w:rPr>
        <w:t>E. 3.1</w:t>
      </w:r>
    </w:p>
    <w:p>
      <w:r>
        <w:t>Selon l' art. 8 al. 1 LAI , les assurés invalides ou menacés d'une invalidité ( art. 8 LPGA )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 art. 8 al. 2 LAI ).</w:t>
      </w:r>
    </w:p>
    <w:p>
      <w:r>
        <w:rPr>
          <w:b/>
        </w:rPr>
        <w:t>E. 3.2</w:t>
      </w:r>
    </w:p>
    <w:p>
      <w:r>
        <w:t>Aux termes de l' art.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ou les rembourse à forfait. L'assuré supporte les frais supplémentaires d'un autre modèle (al. 3).</w:t>
      </w:r>
    </w:p>
    <w:p>
      <w:r>
        <w:rPr>
          <w:b/>
        </w:rPr>
        <w:t>E. 3.3</w:t>
      </w:r>
    </w:p>
    <w:p>
      <w:r>
        <w:t>Selon l'ordonnance du 29 novembre 1976 concernant la remise de moyens auxiliaires par l'assurance-invalidité (OMAI; RS 831.232.51), édictée par le Département fédéral de l'intérieur sur délégation de compétence du Conseil fédéral ( art. 14 RAI ), l'assurance-invalidité prend notamment en charge les fauteuils roulants ( art. 2 al. 1 OMAI et ch. 9 de l'annexe à l'OMAI), qu'ils soient sans moteur (ch. 9.01) ou électriques (ch. 9.02). Selon la jurisprudence, il n'est pas exclu qu'un assuré - eu égard à ses besoins personnels - puisse se voir remettre deux fauteuils électriques et un fauteuil sans moteur ou, inversement, deux fauteuils sans moteur et un fauteuil électrique. Le droit à un fauteuil sans moteur, respectivement à un fauteuil électrique doit être examiné pour lui-même, au cas par cas, en fonction des critères des ch. 9.01 et 9.02 de l'annexe à l'OMAI. Il n'est toutefois pas exclu que l'octroi d'un moyen auxiliaire d'une certaine catégorie ait, selon les circonstances, une influence sur l'octroi d'un moyen de l'autre catégorie; tel peut être le cas, par exemple, lorsqu'un fauteuil roulant électrique vient remplacer dans sa fonction le fauteuil sans moteur précédemment alloué (voir ATF 133 V 257 consid. 6.3.2. p. 260).</w:t>
      </w:r>
    </w:p>
    <w:p>
      <w:r>
        <w:rPr>
          <w:b/>
        </w:rPr>
        <w:t>E. 3.4</w:t>
      </w:r>
    </w:p>
    <w:p>
      <w:r>
        <w:t>Comme pour tout moyen auxiliaire, la prise en charge des frais de renouvellement d'un fauteuil roulant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 ATF 135 I 161 consid. 5.1 p. 165 et les références; voir également ULRICH MEYER-BLASER, Zum Verhältnismässigkeitsgrundsatz im staatlichen Leistungsrecht, 1985, p. 82 ss et 123 ss).</w:t>
      </w:r>
    </w:p>
    <w:p>
      <w:r>
        <w:rPr>
          <w:b/>
        </w:rPr>
        <w:t>E. 4.1</w:t>
      </w:r>
    </w:p>
    <w:p>
      <w:r>
        <w:t>En l'occurrence, la question litigieuse porte sur le point de savoir si la remise d'un second fauteuil roulant manuel est nécessaire pour que l'intimée puisse, conformément à l' art. 21 al. 2 LAI , se déplacer, établir des contacts avec son entourage ou développer son autonomie personnelle. Lorsque la loi précise qu'un assuré a droit aux appareils qui sont nécessaires pour se "déplacer", cela ne signifie pas que celui-ci doit pouvoir circuler sur tous les terrains et dans tous les lieux possibles. Comme mis en évidence précédemment, il doit exister, dans le cadre de l'assurance-invalidité sociale, un rapport raisonnable entre le but de réadaptation poursuivi, le bénéfice supposé apporté par le moyen en question et le coût de celui-ci. Dans ce contexte, la jurisprudence a souligné que les buts légaux de réadaptation que sont le "déplacement" et l' "établissement de contacts avec son entourage" font référence aux lieux les plus proches situés hors du domicile dans lesquels s'établissent les contacts sociaux habituels de la population ( ATF 135 I 161 consid. 6 p. 167; voir également arrêt 8C_34/2011 du 13 septembre 2011 consid. 4.3, in SVR 2012 IV n° 20 p. 89). En l'espèce, l'intimée, qui n'exerce plus d'activité lucrative, s'est vu remettre par l'assurance-invalidité un fauteuil roulant électrique qui lui permet, sans qu'elle ait besoin de recourir à l'aide d'une tierce personne, de se déplacer hors de son domicile, de fréquenter la majorité des lieux publics (commerces, restaurants, cafés, banques, poste, administrations, médecins, etc.) et, partant, d'entretenir des contacts sociaux en dehors de son domicile (cf. procès-verbal de comparution personnelle de l'intimée du 29 novembre 2011).</w:t>
      </w:r>
    </w:p>
    <w:p>
      <w:r>
        <w:rPr>
          <w:b/>
        </w:rPr>
        <w:t>E. 4.2</w:t>
      </w:r>
    </w:p>
    <w:p>
      <w:r>
        <w:t>Le présent litige soulève la question de savoir si les buts légaux de réadaptation que sont le "déplacement" et l' "établissement de contacts avec son entourage" incluent également la possibilité pour la personne assurée de se rendre chez la plupart de ses amis et proches. Or, il est un fait notoire que, pour des raisons architecturales, de nombreux lieux, publics ou privés, ne sont pas ou que très difficilement accessibles aux personnes handicapées se déplaçant en chaise roulante (manuelle ou électrique). Si cet état de fait est la source d'inconvénients certains, puisqu'il tend, en comparaison avec la situation des personnes valides, à restreindre l'autonomie et la qualité du contact social des personnes à mobilité réduite, la jurisprudence a également souligné à de nombreuses reprises que l'assurance-invalidité n'avait pas pour vocation d'assurer les mesures qui étaient les meilleures dans le cas particulier, mais seulement celles qui étaient nécessaires et propres à atteindre le but visé ( ATF 131 V 167 consid. 4.2 p. 173 et la référence citée; à propos de l'interdiction de la discrimination à l'égard des personnes handicapées, voir ATF 134 I 105 consid. 4 p. 108). En l'espèce, il a été constaté au considérant précédent que l'intimée était en mesure, grâce aux moyens auxiliaires mis à sa disposition, d'entretenir les contacts sociaux habituels en dehors de son domicile, excluant par conséquent une intervention supplémentaire de la part de l'assurance-invalidité sociale. Au demeurant, on ajoutera que la personne assurée et son entourage ont également le devoir d'aménager, dans la mesure du possible, l'exercice de leurs relations de manière à ce que le système de la sécurité sociale soit le moins possible sollicité (voir arrêt 8C_315/2008 du 3 juin 2009 consid. 3.4.3, in SVR 2009 IV n° 49 p. 149).</w:t>
      </w:r>
    </w:p>
    <w:p>
      <w:r>
        <w:rPr>
          <w:b/>
        </w:rPr>
        <w:t>E. 4.3</w:t>
      </w:r>
    </w:p>
    <w:p>
      <w:r>
        <w:t>Sur le vu de ce qui précède, il convient de constater, sans qu'il y ait lieu d'examiner l'ensemble des griefs soulevés dans le recours, que la juridiction cantonale a mal apprécié les critères de simplicité et d'adéquation dans le cadre de l'examen du droit à la prise en charge par l'assurance-invalidité d'un second fauteuil manuel en faveur de l'intimée. Bien fondé, le recours doit être admis, le jugement attaqué annulé et la décision de l'office recourant confirmée.</w:t>
      </w:r>
    </w:p>
    <w:p>
      <w:r>
        <w:rPr>
          <w:b/>
        </w:rPr>
        <w:t>E. 5</w:t>
      </w:r>
    </w:p>
    <w:p>
      <w:r>
        <w:t>L'intimée,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