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9C_264/2020 vom 23. November 2020</w:t>
      </w:r>
    </w:p>
    <w:p>
      <w:r>
        <w:t>Bundesgericht, 2020-11-23, DE</w:t>
      </w:r>
    </w:p>
    <w:p>
      <w:r>
        <w:rPr>
          <w:b/>
        </w:rPr>
        <w:t xml:space="preserve">Quelle: </w:t>
      </w:r>
      <w:r>
        <w:t>https://mcp.opencaselaw.ch/entscheid/bger_9C_264_2020</w:t>
      </w:r>
    </w:p>
    <w:p>
      <w:r>
        <w:t>FR: TF 9C_264/2020 du 23 novembre 2020</w:t>
      </w:r>
    </w:p>
    <w:p>
      <w:r>
        <w:t>IT: TF 9C_264/2020 del 23 novembre 2020</w:t>
      </w:r>
    </w:p>
    <w:p>
      <w:pPr>
        <w:pStyle w:val="Heading2"/>
      </w:pPr>
      <w:r>
        <w:t>Erwägungen</w:t>
      </w:r>
    </w:p>
    <w:p>
      <w:r>
        <w:rPr>
          <w:b/>
        </w:rPr>
        <w:t>E. 1</w:t>
      </w:r>
    </w:p>
    <w:p>
      <w:r>
        <w:t>Zur Beurteilung stehen - wie bereits im Verfahren 9C_826/2014 resp. in BGE 141 V 597 (vgl. dortige E. 3.1 S. 601) - die gestaffelten Austritte von A.________ und D.________ aus der altB.________ GmbH. Gemäss BGE 141 V 597 und - für das Bundesgericht verbindlichen (vgl. Art. 105 Abs. 1 und 2 BGG ) - Feststellungen der Vorinstanz steht Folgendes fest: Die beiden Austritte sind gesamtheitlich zu betrachten und erfüllen sämtliche Teilliquidationstatbestände (Restrukturierung, Verminderung der Belegschaft und Auflösung des Anschlussvertrages; a.a.O., E. 4.3 S. 603 f.), wobei die laufenden Sanierungsmassnahmen der Aufhebung des Anschlussvertrags in concreto nicht entgegenstehen. Insbesondere schränken weder Reglement noch Anschlussvertrag eine Kündigung ein. Ebenso wenig steht ein von der Aufsichtsbehörde formell verfügter Kündigungsstopp zur Diskussion (vgl. a.a.O., E. 4.1 Abs. 2 S. 602 f.; zur Zulässigkeit der Kündigung vgl. vor allem E. 4.4 des angefochtenen Entscheids). Mit anderen Worten wird dem beschriebenen Verhalten der beiden Versicherten, die durch ihre Einzelaustritte ("gewöhnliche") Freizügigkeitsfälle und damit ungekürzte Austrittsleistungen nach den allgemeinen Regeln des FZG (SR 831.42) zu erwirken versuchten, insoweit entgegengetreten, als eine Teil- resp. Gesamtliquidation durchzuführen ist, in deren Rahmen versicherungstechnische Fehlbeträge grundsätzlich abgezogen werden dürfen (vgl. a.a.O., E. 3.2 S. 601 f.). Damit wird - allgemein, das heisst auch mit Blick auf eine umhüllende Versicherung - das vorbeschriebene, allfällig als rechtsmissbräuchlich zu qualifizierende Verhalten, was letztlich offenbleiben kann, im Grundsatz sanktioniert. Davon zu unterscheiden ist die Frage, inwieweit den Versicherten im Rahmen der Teil- resp. Gesamtliquidation jedenfalls das Altersguthaben gemäss Art. 15 BVG mitzugeben ist, obwohl die Mittel des entsprechenden Vorsorgewerks dazu nicht ausreichen (vgl. E. 2 nachfolgend).</w:t>
      </w:r>
    </w:p>
    <w:p>
      <w:r>
        <w:t>Wie im vorinstanzlichen Verfahren ist der 31. Dezember 2014 als Stichtag der Teil- resp. Gesamtliquidation unbestritten.</w:t>
      </w:r>
    </w:p>
    <w:p>
      <w:r>
        <w:rPr>
          <w:b/>
        </w:rPr>
        <w:t>E. 2.1.1</w:t>
      </w:r>
    </w:p>
    <w:p>
      <w:r>
        <w:t>Sowohl Art. 53d Abs. 3 BVG (der i.V.m. Art. 18a Abs. 2 FZG zur Anwendung gelangt und im hier interessierenden Punkt mit Art. 18 FZG übereinstimmt) als auch die Regelung in Ziff. 5.7 des Anschlussvertrags vom 7. Juli 2007 und in Art. 2 Abs. 1 des Teilliquidationsreglements vom 24. November 2009 (Anhang 3 zum Vorsorgereglement) halten unmissverständlich fest, dass bei einer (Teil-) Liquidation das Altersguthaben nach Art. 15 BVG nicht geschmälert werden darf (so auch E. 4.2.2 Abs. 1 des angefochtenen Entscheids). Ein anderes Verständnis dieser normativen Vorgaben, das von der - vor allem vertraglich - formulierten Absolutheit abweicht, war in keinem Zeitpunkt Thema und wird auch hier nicht substanziiert vorgebracht. Im Übrigen räumt die Meta selber ein, dass das bei einer (Teil-) Liquidation für die Zuweisung des Fehlbetrags zu beachtende Gleichbehandlungsgebot (vgl. BGE 135 V 113 E. 2.1.6 S. 118 f.) durch die Garantie des Altersguthabens gemäss Art. 15 BVG durchbrochen werde. Diesbezügliche Weiterungen sind daher obsolet.</w:t>
      </w:r>
    </w:p>
    <w:p>
      <w:r>
        <w:rPr>
          <w:b/>
        </w:rPr>
        <w:t>E. 2.1.2</w:t>
      </w:r>
    </w:p>
    <w:p>
      <w:r>
        <w:t>Anders als in BGE 144 V 173 (vgl. dortige E. 3.3.5.2 S. 182), in welchem Fall die Rentner bei der bisherigen Vorsorgeeinrichtung verblieben, gibt es vorliegend nach der Auflösung des Anschlussvertrags keine "Rest-Vertrags-Beziehung" (vgl. Art. 53e Abs. 6 BVG ), die weitere Pflichten der altB.________ GmbH nach sich zieht. Innerhalb des hier interessierenden Vorsorgewerks bleiben keine Versicherten zurück und es wird auch kein neuer Anschlussvertrag angestrebt (für das Bundesgericht verbindliche Feststellung in E. 4.5 des angefochtenen Entscheids). Für die direkte oder analoge Anwendung von Art. 53e BVG (die in E. 4.5 des angefochtenen Entscheids ohnehin als fraglich beurteilt wurde) verbleibt daher von vornherein kein Raum. Gleichzeitig erübrigen sich weitere Ausführungen zur Gleichbehandlung des Fort- und Abgangsbestands (vgl. dazu auch E. 2.1.6 nachfolgend).</w:t>
      </w:r>
    </w:p>
    <w:p>
      <w:r>
        <w:rPr>
          <w:b/>
        </w:rPr>
        <w:t>E. 2.1.3</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 BGE 144 V 173 E. 3.3.3 S. 180 und [ebenfalls die Meta betreffend] SVR 2017 BVG Nr. 37 S. 169, 9C_938/2015 E. 6.2.1). Eine reglementarische Ausfinanzierungspflicht fehlt hier, wie die Vorinstanz (in E. 4.6 Abs. 1 des angefochtenen Entscheids) für das Bundesgericht verbindlich festgestellt hat. Auch im Anschlussvertrag findet sich keine solche Vorgabe.</w:t>
      </w:r>
    </w:p>
    <w:p>
      <w:r>
        <w:rPr>
          <w:b/>
        </w:rPr>
        <w:t>E. 2.1.4</w:t>
      </w:r>
    </w:p>
    <w:p>
      <w:r>
        <w:t>Dass seitens der Beschwerdegegner oder der altB.________ GmbH ein Ausstand von geschuldeten Sanierungsbeiträgen (vgl. dazu E. 4.8 des angefochtenen Entscheids) bestehen soll, wurde resp. wird nicht ansatzweise geltend gemacht (vgl. zur Mitwirkungs- und Substanziierungspflicht unter Geltung des Untersuchungsgrundsatzes Urteil 9C_711/2017 vom 4. Juli 2018 E. 3.1.1 mit Hinweisen) und ist auch nicht ersichtlich. Diesbezüglich erübrigen sich Weiterungen.</w:t>
      </w:r>
    </w:p>
    <w:p>
      <w:r>
        <w:rPr>
          <w:b/>
        </w:rPr>
        <w:t>E. 2.1.5</w:t>
      </w:r>
    </w:p>
    <w:p>
      <w:r>
        <w:t>Weder aus dem von der Meta angerufenen Art. 27h Abs. 5 der Verordnung vom 18. April 1984 über die berufliche Alters-, Hinterlassenen- und Invalidenvorsorge (BVV 2; SR 831.441.1), der vom kollektiven Anspruch auf Rückstellungen und Schwankungsreserven handelt, noch aus BGE 119 Ib 46 E. 4d S. 55 f. lässt sich eine Relativierung von Art. 53d Abs. 3 BVG resp. der vertraglichen Regelung ableiten, da sie das nicht-individualisierte Kapital betreffen (vgl. dazu BGE 146 V 28 E. 3.4 S. 34).</w:t>
      </w:r>
    </w:p>
    <w:p>
      <w:r>
        <w:rPr>
          <w:b/>
        </w:rPr>
        <w:t>E. 2.1.6</w:t>
      </w:r>
    </w:p>
    <w:p>
      <w:r>
        <w:t>Bei Sammelstiftungen - wie der Meta - werden Vorsorgewerke als organisatorisch und wirtschaftlich getrennte Vorsorgekassen mit jeweils eigenem Reglement geführt. Es besteht keine Solidarität zwischen den Vorsorgewerken ( BGE 146 V 169 E. 3.1.1 S. 175; 145 V 106 E. 3.1 S. 109; vgl. auch E. 6.4 Abs. 3 des angefochtenen Entscheids). Diese Grundsätze übergeht die Meta, indem sie - pauschal und ohne weitere Begründung - vorbringt, wenn der Fehlbetrag nicht den Beschwerdegegnern zugewiesen würde, müsste er aus Vermögen der in einem anderen Vorsorgewerk Versicherten finanziert werden.</w:t>
      </w:r>
    </w:p>
    <w:p>
      <w:r>
        <w:rPr>
          <w:b/>
        </w:rPr>
        <w:t>E. 2.2</w:t>
      </w:r>
    </w:p>
    <w:p>
      <w:r>
        <w:t>Nach dem Gesagten entbehrt das Ansinnen der Beschwerdeführerin, das obligatorische Altersguthaben - ungeachtet der gesetzlichen und vertraglichen Vorgabe - nur in der Höhe der vorhandenen Mittel mitzugeben, jeglicher Grundlage. Insbesondere scheint sie ausser Acht zu lassen, dass es Aufgabe und Pflicht der Vorsorgeeinrichtung ist, grundsätzlich jederzeit finanzielle Sicherheit zu bieten ( Art. 65 BVG ), wie die Vorinstanz (in E. 4.6 Abs. 2 des angefochtenen Entscheids) zutreffend erkannt hat. Anders als die in BGE 144 V 173 betroffene Vorsorgeeinrichtung (vgl. dortige E. 3.3.2 S. 179 f.) verzichtete die Meta auf den "Einbau" auch nur eines einzigen anschlussvertraglichen oder reglementarischen "Instruments" in dem Sinne, dass es bei einem teil- resp. gesamtliquidationsbedingten Austritt mindestens der (z.B. arbeitgeberseitigen) Sicherstellung der gesetzlich garantierten Mindestleistung bedarf. Damit stellt sich die Frage nach der Verantwortlichkeit (vgl. Art. 52 BVG ), über die aber nicht im vorliegenden Verfahren zu befinden ist (vgl. auch E. 6 des angefochtenen Entscheids). Demgegenüber erweist sich die Kündigung des Anschlussvertrags als rechtmässig (vgl. vorangehende E. 1), ohne dass die austretende Arbeitgeberin, wie soeben dargelegt, weitergehenden finanziellen Obliegenheiten nachzukommen hat. Bei dieser Rechtslage kann - entgegen der Meinung der Beschwerdeführerin - von einer rechtsmissbräuchlichen Berufung auf Art. 53d Abs. 3 BVG keine Rede sein ( BGE 141 V 597 E. 4.1 Abs. 2 erster Satz S. 602). Die Vorbringen der Meta betreffend vorinstanzlicher Verkennung resp. Ausweitung des Streitgegenstandes helfen nicht weiter, und es ist in Übereinstimmung mit dem Bundesverwaltungsgericht festzuhalten, dass die beiden Versicherten Anspruch auf ein ungeschmälertes Altersguthaben gemäss Art. 15 BVG haben (vorinstanzliche E. 4.10). Die Teil- resp. Gesamtliquidation kann grundsätzlich vollzogen werden.</w:t>
      </w:r>
    </w:p>
    <w:p>
      <w:r>
        <w:rPr>
          <w:b/>
        </w:rPr>
        <w:t>E. 2.3</w:t>
      </w:r>
    </w:p>
    <w:p>
      <w:r>
        <w:t>Was die Finanzierung der soeben festgestellten Ansprüche betrifft, so ist hierüber mangels eines entsprechenden Anfechtungs- und Streitgegenstands nicht zu befinden. Auch wenn der angefochtene Entscheid (in dessen E. 4.9) Ausführungen betreffend den Sicherheitsfonds enthält, hat das Bundesverwaltungsgericht - zu Recht - die Frage nach der Sicherstellung nicht beantwortet. Anders als die Meta anzunehmen scheint, hat es die Sicherstellung nicht zum Gegenstand des (gesetzlich und reglementarisch vorgesehenen) Verfahrens betreffend die (Teil-) Liquidation gemacht.</w:t>
      </w:r>
    </w:p>
    <w:p>
      <w:r>
        <w:t>An dieser Stelle sei nur, aber immerhin, Folgendes festgehalten: Der Sicherheitsfonds stellt die gesetzlichen Leistungen von zahlungsunfähig gewordenen Vorsorgeeinrichtungen resp. Vorsorgewerken sicher ( Art. 56 Abs. 1 lit. b und Abs. 3 BVG ). Das heisst, er sichert die gesetzlichen Ansprüche der obligatorisch versicherten Personen bei Zahlungsunfähigkeit der Vorsorgeeinrichtung und ist nicht dazu bestimmt,</w:t>
      </w:r>
    </w:p>
    <w:p>
      <w:r>
        <w:t>diese schadlos zu halten ( BGE 145 V 106 E. 7.1 S. 115; 141 V 650 E. 5.2.3 S. 655). Auf Antrag der zahlungsunfähig gewordenen Vorsorgeeinrichtung oder der Rechtsträgerin des insolvent gewordenen Versichertenkollektivs (Art. 24 Abs. 1 der Verordnung vom 22. Juni 1998 über den Sicherheitsfonds BVG [SFV; SR 831.432.1]) entscheidet der Sicherheitsfonds mittels Verfügung über die Sicherstellung ( Art. 20 Abs. 3 SFV ).</w:t>
      </w:r>
    </w:p>
    <w:p>
      <w:r>
        <w:rPr>
          <w:b/>
        </w:rPr>
        <w:t>E. 3.1</w:t>
      </w:r>
    </w:p>
    <w:p>
      <w:r>
        <w:t>Streitig bleibt die Verzinsung. Es ist zu differenzieren zwischen dem Zins bis zur Fälligkeit der Austrittsleistung, jenem ab Fälligkeit (vgl. Art. 2 Abs. 3 FZG ) und dem Verzugszins (vgl. Art. 2 Abs. 4 FZG ). Gemäss BGE 141 V 597 E. 3.2 Abs. 2 S. 601 f. wird das individuelle Altersguthaben im Rahmen einer (Teil-) Liquidation erst im Zeitpunkt fällig, in dem seine Höhe definitiv bestimmt ist (vgl. dazu vorangehende E. 2.2 in fine); dieses ist erst dann durch die Art. 2 ff. FZG geschützt. Selbstredend bedeutet dies, dass das Altersguthaben, soweit nicht bereits ganz oder teilweise überwiesen, bis zur Fälligkeit der "üblichen" reglementarischen Verzinsung unterliegt, die bei überobligatorischen Sparguthaben unter dem vom Bundesrat festgelegten Zinssatz sein kann (vgl. dazu BGE 140 V 16 ; zum Fall einer gesetzlich zulässigen Unterschreitung des BVG-Mindestzinses vgl. Art. 65d Abs. 4 BVG ). Anders als die Beschwerdegegner glauben machen wollen, ist in BGE 144 V 369 E. 4.1.3 S. 373 die Unterscheidung, ob der Anspruch auf die Austrittsleistung im Zusammenhang mit einem (Teil-) Liquidationstatbestand oder mit einem - hier nicht gegebenen (vgl. vorangehende E. 1) - "gewöhnlichen" Freizügigkeitsfall nach Art. 2 FZG steht, nicht fallengelassen worden.</w:t>
      </w:r>
    </w:p>
    <w:p>
      <w:r>
        <w:rPr>
          <w:b/>
        </w:rPr>
        <w:t>E. 3.2</w:t>
      </w:r>
    </w:p>
    <w:p>
      <w:r>
        <w:t>Ob der Umstand, dass die Durchführung einer (Teil-) Liquidation "mehrmals ungerechtfertigt verweigert" wurde, Anlass für eine Ab weichung von der soeben (in E. 3.1) dargelegten Rechts lage ist und für die Vorverlegung der Fälligkeit spricht, wie das Bundesverwal tungsgericht (in E. 5.4.3 des angefochtenen Entscheids) entschied, oder ob dem besagten Umstand vielmehr durch das Beschreiten des aufsichtsrechtlichen Wegs (vgl. Art. 53d Abs. 6 BVG ) zu begegnen wäre, wie die Meta vorbringt, kann offenbleiben.</w:t>
      </w:r>
    </w:p>
    <w:p>
      <w:r>
        <w:t>Die Vorinstanz hat (in E. 5.4 des angefochtenen Entscheids) zutreffend erkannt, dass der Zins zur jeweiligen individuellen Forderung akzessorisch ist und deshalb wie diese im Klageverfahren nach Art. 73 BVG zu klären ist. "Aus prozessökonomischen Gründen" hat sie sich dennoch dazu geäussert und die Sache im Sinne der Erwägungen (vgl. zu deren Teilhabe an der formellen Rechtskraft des Dispositivs BGE 144 V 418 E. 4.2 S. 425; 113 V 159 ) zur Festlegung von Einzelheiten an die Aufsichtsbehörde zurückgewiesen. Dabei ist laut vorinstanzlicher Feststellung (in E. 5.4.2 des angefochtenen Entscheids) weder klar, wann die (teilweise zu Unrecht gekürzten) Austrittsleistungen erbracht wurden, noch ob und gegebenenfalls zu welchem Satz sie bereits verzinst wurden. Demnach war die Sache von vornherein nicht liquid (vgl. SVR 2012 BVG Nr. 23 S. 92, 9C_378/2011 E. 4.2.1 betreffend zivilrechtliche [Vor-]Frage) und folglich deren Behandlung durch das Bundesverwaltungsgericht auch nicht prozessökonomisch. Davon abgesehen gilt es, die strikte Zweiteilung der Zuständigkeit und des Verfahrens je nach vorsorgerechtlichem Gegenstand zu respektieren (SVR 2017 BVG Nr. 37 S. 169, 9C_938/2015 E. 6.2.3). Hinsichtlich der Verzinsung hätte das Bundesverwaltungsgericht (wie auch die BSABB) nicht auf die bei ihm erhobene Beschwerde eintreten dürfen; in diesem Umfang ist der angefochtene Entscheid (wie auch die aufsichtsrechtliche Verfügung) von Amtes wegen (vgl. BGE 144 V 138 E. 4.1 S. 144; SVR 2017 BVG Nr. 37 S. 169, 9C_938/2015 E. 3.1) aufzuheben und auf die vorliegende Beschwerde nicht einzutreten.</w:t>
      </w:r>
    </w:p>
    <w:p>
      <w:r>
        <w:rPr>
          <w:b/>
        </w:rPr>
        <w:t>E. 4</w:t>
      </w:r>
    </w:p>
    <w:p>
      <w:r>
        <w:t>Mit diesem Urteil wird das Gesuch um aufschiebende Wirkung gegenstandslos.</w:t>
      </w:r>
    </w:p>
    <w:p>
      <w:r>
        <w:rPr>
          <w:b/>
        </w:rPr>
        <w:t>E. 5</w:t>
      </w:r>
    </w:p>
    <w:p>
      <w:r>
        <w:t>Auch wenn der angefochtene Entscheid teilweise aufzuheben ist (vgl. vorangehende E. 3.2), dringt die Meta mit ihren Anträgen nicht durch. Dementsprechend hat sie die Gerichtskosten zu tragen ( Art. 66 Abs. 1 BGG ). Die Beschwerdegegner haben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