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263/2014 vom 18. Dezember 2014</w:t>
      </w:r>
    </w:p>
    <w:p>
      <w:r>
        <w:t>Bundesgericht, 2014-12-18, DE</w:t>
      </w:r>
    </w:p>
    <w:p>
      <w:r>
        <w:rPr>
          <w:b/>
        </w:rPr>
        <w:t xml:space="preserve">Quelle: </w:t>
      </w:r>
      <w:r>
        <w:t>https://mcp.opencaselaw.ch/entscheid/bger_9C_263_2014</w:t>
      </w:r>
    </w:p>
    <w:p>
      <w:r>
        <w:t>FR: TF 9C 263/2014 du 18 décembre 2014</w:t>
      </w:r>
    </w:p>
    <w:p>
      <w:r>
        <w:t>IT: TF 9C 263/2014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Der Antrag des Beschwerdeführers auf Edition der Zuger Strafakten (vgl. Sachverhalt lit. A.b) ist neu und unzulässig ( Art. 99 Abs. 1 BGG ; E. 6.2 S. 376 des vorinstanzlichen Entscheids). Ihr Beizug von Amtes wegen war - und ist auch vor Bundesgericht - nicht angezeigt. Zum einen haben das vorliegende Verfahren und das Strafverfahren, das sich gegen die Beklagten 1, 4 und 13 richtet (a.a.O. E. 6.2 S. 377 unten), unterschiedliche Ansatzpunkte. Während es hier primär um die Frage nach einer berufsvorsorgerechtlich relevanten Sorgfaltspflichtverletzung im Aufgabenbereich durch Unterlassung geht (vgl. E. 6.2 und 6.3 hinten), steht im Strafverfahren das Erfüllen von strafrechtlich relevanten Tatbeständen mit persönlicher Bereicherungsabsicht im Zentrum. Zum andern ist unbestritten, dass der Beschwerdeführer nicht durch strafrechtlich relevante Handlungen anderer (z.B. Betrug oder Urkundendelikte) daran gehindert wurde, seinen Pflichten nachzukommen (E. 4.7.3.2 S. 192 des angefochtenen Entscheids). Des Beizugs der Strafakten bedarf es auch nicht zur Bestimmung der Schadenshöhe (vgl. E. 5 hinten). Ein Berührungspunkt zwischen den beiden Verfahren, d.h. dem vorliegenden und dem Strafverfahren, findet sich einzig bezüglich der Frage, ob das strafrechtliche Fehlverhalten der Beklagten 1, 4 und 13 geeignet ist, den - hier - haftungsrelevanten Kausalzusammenhang (vgl. E. 8.1 hinten) zu unterbrechen. Nachdem ein solcher Unterbruch zu verneinen ist (vgl. E. 8.3 hinten), kann auch aus diesem Grund auf eine Edition verzichtet werden. Damit erweist sich auch das Sistierungsgesuch als unbegründet. Diesem sind ohnehin durch die gebotene Raschheit des Verfahrens ( Art. 73 Abs. 2 BVG ; Art. 29 Abs. 1 BV ) enge Grenzen gesetzt ( BGE 134 IV 43 E. 2.5 S. 47). Erwägung 3.2 des Urteils 1B_33/2014 vom 13. März 2014, mit welchem dem BVG-Experten (Beklagter 10) das Einsichtsrecht in die Strafakten zuerkannt wurde, lässt sich nichts Gegenteiliges entnehmen. Die strafrechtliche Abteilung des Bundesgerichts hat darin mit Blick auf das Akteneinsichtsrecht lediglich erwogen, es sei offensichtlich, "dass sich der Ausgang des Strafverfahrens auf die Zivilforderung auswirken kann". Dass eine solche Auswirkung tatsächlich gegeben ist, ist damit nicht gesagt und ist - wie noch zu zeigen sein wird (vgl. E. 8 hinten) - hier auch nicht der Fall. Anzumerken bleibt, dass verschiedenste Unterlagen aus dem Strafverfahren vorliegend aktenkundig sind.</w:t>
      </w:r>
    </w:p>
    <w:p>
      <w:r>
        <w:rPr>
          <w:b/>
        </w:rPr>
        <w:t>E. 2.2</w:t>
      </w:r>
    </w:p>
    <w:p>
      <w:r>
        <w:t>Nicht anders verhält es sich hinsichtlich des hängigen Schadenersatzverfahrens gegen die Schweizerische Eidgenossenschaft. Weder drängt es sich auf, die entsprechenden Akten zu edieren noch das vorliegende Verfahren zu sistieren. Eine etwaige Verantwortlichkeit der (damaligen) Aufsichtsbehörde ist nicht Gegenstand dieses Verfahrens, sondern eines separaten Verantwortlichkeitsprozesses. Dabei kann allenfalls ein Mitverschulden des BSV resultieren. Ein solches vermöchte den Kausalzusammenhang zwischen dem pflichtwidrigen Verhalten des Beschwerdeführers und des von ihm verursachten Schadens aber nicht zu unterbrechen (vgl. E. 8.3 hinten). Die Gefahr widersprüchlicher Urteile ist nicht ersichtlich. Die beiden Verfahren, d.h. das vorliegende und das Schadenersatzverfahren gegen die Schweizerische Eidgenossenschaft, richten sich gegen verschiedene "Personen" und haben unterschiedliche Haftungsgrundlagen resp. Pflichtverletzungen als Prüfungsobjekt; die Aufgabenbereiche des Stiftungsrats und der Aufsichtsbehörde sind nicht deckungsgleich.</w:t>
      </w:r>
    </w:p>
    <w:p>
      <w:r>
        <w:rPr>
          <w:b/>
        </w:rPr>
        <w:t>E. 2.3</w:t>
      </w:r>
    </w:p>
    <w:p>
      <w:r>
        <w:t>Welche weiteren Beweisanträge der Beschwerdeführer im vorinstanzlichen Verfahren gestellt haben will und nicht abgenommen worden sind, substanziiert er nicht näher. Es erübrigen sich deshalb Weiterungen und es kann vollumfänglich auf die Erörterungen des kantonalen Gerichts in E. 6.1 seines Entscheids (S. 376) verwiesen werden.</w:t>
      </w:r>
    </w:p>
    <w:p>
      <w:r>
        <w:rPr>
          <w:b/>
        </w:rPr>
        <w:t>E. 2.4</w:t>
      </w:r>
    </w:p>
    <w:p>
      <w:r>
        <w:t>Soweit der Beschwerdeführer bemängelt, den Parteien sei keine Gelegenheit eingeräumt worden, zum Beweisergebnis nochmals gesamthaft Stellung zu nehmen, was ein schwerer Verfahrensmangel in der Form einer Gehörsverletzung darstelle, so ist darauf hinzuweisen, dass die Verletzung von Grundrechten der qualifizierten Rügepflicht bedarf ( Art. 106 Abs. 2 BGG ). Dieser kommt der Beschwerdeführer nicht nach.</w:t>
      </w:r>
    </w:p>
    <w:p>
      <w:r>
        <w:rPr>
          <w:b/>
        </w:rPr>
        <w:t>E. 2.5</w:t>
      </w:r>
    </w:p>
    <w:p>
      <w:r>
        <w:t>Dass die Regressmöglichkeiten des Beschwerdeführers beeinträchtigt - aber nicht verunmöglicht - werden, weil eine Beiladung der Schweizerischen Eidgenossenschaft vorinstanzlich unterblieb, hat das kantonale Gericht nicht in Abrede gestellt (E. 2.2.5.3 und 2.2.5.4 S. 25 f. des angefochtenen Entscheids). Der Beschwerdeführer setzt sich mit dessen Argumentation nicht auseinander. Insbesondere legt er nicht dar, inwieweit die Vorinstanz das ihr in diesem Punkt unbestrittenermassen zustehende Ermessen (a.a.O. E. 2.2.5 S. 23) überschritten resp. missbraucht hat (vgl. BGE 137 V 71 E. 5.1 S. 72 f.).</w:t>
      </w:r>
    </w:p>
    <w:p>
      <w:r>
        <w:rPr>
          <w:b/>
        </w:rPr>
        <w:t>E. 2.6</w:t>
      </w:r>
    </w:p>
    <w:p>
      <w:r>
        <w:t>Der Antrag, es sei ein zweiter Schriftenwechsel (vgl. Art. 102 Abs. 3 BGG ) durchzuführen, ist nicht einmal ansatzweise begründet, weshalb darauf nicht einzutreten ist. Dazu bestünde übrigens auch bei ausreichender Begründung kein Anlass (vgl. Sachverhalt lit. D).</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w:t>
      </w:r>
    </w:p>
    <w:p>
      <w:r>
        <w:rPr>
          <w:b/>
        </w:rPr>
        <w:t>E. 4</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(E. 5.4 S. 305 des kantonalen Entscheids).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bis zur Höhe von Fr. 30'553'230.39 seien ausreichend substanziiert und würden vom Beschwerdeführer nicht bestritten (angefochtener Entscheid E. 4.3.4.6 i.f. S. 65). Dieser habe keine Bemerkungen zum Schaden gemacht und insbesondere nicht geltend gemacht, dass die Abflüsse rechtmässig gewesen sind (a.a.O. E. 4.3.3.5 S. 57 i.V.m. E. 4.3.5 S. 65). Der Beschwerdeführer widerspricht diesen Feststellungen nicht, sondern erörtert, weshalb der Schaden nicht genügend substanziiert sei. Damit stellt er neue tatsächliche Behauptungen auf (vgl. Urteil 4A_229/2010 vom 7. Oktober 2010 E. 5.1.3, nicht publ. in: BGE 136 III 518 ), die unzulässig sind, zumal nicht erst der angefochtene Entscheid zu denselben Anlass gegeben hat ( Art. 99 Abs. 1 BGG ). Gleich verhält es sich in Bezug auf das erstmalige Vorbringen, die Höhe des Schadens stehe noch gar nicht fest, weil sich ein Teil der abgeflossenen Gelder wieder zurückführen lasse resp. bei sorgfältiger Liquidation hätte zurückführen lassen.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E. 4.4.2 S. 95 ff. des angefochtenen Entscheids). Sodann hat sie für die eigentliche Prüfung, ob eine Pflichtverletzung vorliegt, die Stiftungsräte in drei Gruppen zusammengefasst. Der Beschwerdeführer wurde dabei mit den Beklagten 5, 6 und 8 beurteilt, was nicht zu beanstanden ist, zumal in den Erwägungen zwischen den einzelnen Gruppenmitgliedern klar differenziert wird. Den allgemeinen Ausführungen der Vorinstanz zu den einzelnen Sorgfaltspflichten, auf die vollumfänglich verwiesen werden kann, ist anzufügen, dass die Haftung eines Stiftungsrates keiner Karenzfrist unterliegt. Dieser steht ab dem Tag der effektiven Begründung der Organstellung - hier unbestritten ab 1. Oktober 2005 (a.a.O. E. 4.7.1.3 i.f. S. 171) - in der vollen Pflicht ( BGE 128 V 124 E. 4b S. 128). Dies bedingt, dass er sich ein genügend umfassendes Bild der Einrichtung verschafft, bevor das Mandat übernommen wird. Die wichtigsten Bereiche, wozu u.a. die Organisation und die Anlagen sowie das Risikomanagement gehören, sind vor der Annahme des Stiftungsratsmandats zu prüfen (vgl. MÜLLER/LIPP/PLÜSS, Der Verwaltungsrat, Ein Handbuch für Theorie und Praxis, 4. Aufl. 2014, S. 21 f. Ziff. 1.2.7). Das heisst nicht, dass der Stiftungsrat schon bei Amtsantritt Verdacht schöpfen muss oder Nachforschungen zu betreiben hat, ohne dass ein begründeter Anlass besteht. Indes hat er sich von Anfang an aktiv um das Geschehen zu kümmern. Damit geht nicht eine Vorwirkung der Haftung einher. Deren Beginn, der sich, wie soeben dargelegt, nach der tatsächlichen Mandatsübernahme richtet, bleibt sich gleich. Daran ändert auch nichts, dass die Vorsorgeeinrichtung die Aus- und Weiterbildung der Arbeitnehmer- und Arbeitgebervertreter im obersten paritätischen Organ auf eine Weise zu gewährleisten hat, dass diese ihre Führungsaufgaben wahrnehmen können ( Art. 51 Abs. 6 BVG in der hier massgebenden, bis Ende 2011 gültigen Fassung; ab 1. Januar 2012: Art. 51a Abs. 2 lit. i BVG ). Abgesehen davon, dass das Gesetz nicht gebietet, sich erst nach Amtsantritt (erstmals) ausbilden zu lassen, bestimmt sich die Sorgfaltspflicht nicht nach dem Stand der Fachkenntnisse, sondern nach objektiven Kriterien. Dies ist auch der klare Wille des Gesetzgebers (vgl. dazu den im Nationalrat klar verworfenen Antrag, - zumindest - das Mass der Sorgfalt nach den Fachkenntnissen zu bestimmen [Protokoll der nationalrätlichen Kommission für soziale Sicherheit und Gesundheit vom 21./22. Februar 2002 S. 37 unten; AB 2002 N 551 f.]). Eine andere Frage ist, ob die Mandatsdauer ein rechtzeitiges Handeln zugelassen hätte (vgl. dazu E. 6.2.3 Abs. 2 hinten).</w:t>
      </w:r>
    </w:p>
    <w:p>
      <w:r>
        <w:rPr>
          <w:b/>
        </w:rPr>
        <w:t>E. 6.2</w:t>
      </w:r>
    </w:p>
    <w:p>
      <w:r>
        <w:t>Die Beklagten 5-8 sind erst in einem späteren Zeitpunkt dem Stiftungsrat beigetreten und sehen sich allesamt dem Vorwurf ausgesetzt, sich nach dem Eintritt zu passiv verhalten zu haben, womit sie eine Vergrösserung des Schadens billigend in Kauf genommen hätten (E. 4.4.1 i.f. S. 94 des angefochtenen Entscheids). Dass der Beschwerdegegner kaum auf das individuelle Verhalten der vier Beklagten eingegangen ist, heisst nicht, dass er seiner Substanziierungspflicht nicht nachgekommen ist, wie der Beschwerdeführer meint. Es können sich durchaus mehrere Stiftungsräte gleich passiv verhalten haben.</w:t>
      </w:r>
    </w:p>
    <w:p>
      <w:r>
        <w:rPr>
          <w:b/>
        </w:rPr>
        <w:t>E. 6.2.1</w:t>
      </w:r>
    </w:p>
    <w:p>
      <w:r>
        <w:t>Für die Geschäftsorganisation der Stiftung war der Umstand charakteristisch, dass zahlreiche Aufgaben an Dritte delegiert wurden (a.a.O. E. 3.4 S. 33 ff.)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derjenigen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eingeräumten Rechte keine weiteren Rechte hinaus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vordefiniert wurde. Am 16. Juni 2005 verlegte die U.________ AG ihren Sitz von Basel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w:t>
      </w:r>
    </w:p>
    <w:p>
      <w:r>
        <w:rPr>
          <w:b/>
        </w:rPr>
        <w:t>E. 6.2.2</w:t>
      </w:r>
    </w:p>
    <w:p>
      <w:r>
        <w:t>Dem Beschwerdeführer war bekannt, dass die Stiftung die Anlagetätigkeit an einen Dritten delegiert hatte; er hatte sowohl von der S.________ Ltd. als auch der U.________ AG Kenntnis (E. 4.7.1.4 S. 173 oben, E. 4.7.1.8 S. 182 unten des kantonalen Entscheids). Dazu kommt, dass er selber zweimal Verwaltungsrat der R.________ AG war, die von der Stiftung mit über 15 Mio. Fr. alimentiert wurde (allein nach dem 28. Dezember 2005 mit rund 2 Mio. Fr.). Das erste Mal amtete er von Januar bis November 2002 und das zweite Mal ab Dezember 2005. Mit Darlehensvertrag vom 27. Januar 2005 erhielt die W.________ AG, welcher der Beschwerdeführer damals als Vizepräsident des Verwaltungsrats angehörte, von der Stiftung ein Darlehen in der Höhe von Fr. 180'000.-. Im Weiteren verpflichtete sich die Q.________ AG am 28. Juli 2005, Fr. 1'150'000.- in die X.________ AG zu investieren. Diese war bei der Stiftung als Arbeitgeberfirma angeschlossen und wurde verwaltungsratsmässig vom Beschwerdeführer geleitet. Aus der Vereinbarung vom 28. Juli 2005 geht ferner hervor, dass der Darlehensvertrag vom 27. Januar 2005 von der W.________ AG auf die X.________ AG übertragen werden sollte. Insgesamt flossen dieser dadurch im August 2005 1,2 Mio. Fr. zu (a.a.O. E. 4.7.1.8 S. 180 f.).</w:t>
      </w:r>
    </w:p>
    <w:p>
      <w:r>
        <w:rPr>
          <w:b/>
        </w:rPr>
        <w:t>E. 6.2.3</w:t>
      </w:r>
    </w:p>
    <w:p>
      <w:r>
        <w:t>Bei dieser - von der Vorinstanz festgestellten und für das Bundesgericht verbindlichen (vgl. E. 1.1 vorne) - Sachlage (vgl. E. 6.2.1 und 6.2.2 vorne) kann dem Beschwerdeführer bei der hier fraglichen Mandatsübernahme nicht die Rolle eines unbedarften Stiftungsrats zugeschrieben werden, soweit er sich überhaupt darauf berufen kann (vgl. E. 6.1 vorne). Gerade die Interessenkonflikte, welche die Stiftung mit dem rund um sie aufgebauten Firmenkonglomerat hervorgerufen hat, welches vom Beschwerdeführer auf Grund seiner eigenen Verbandelung zumindest teilweise überblickbar war, hätten ihn bei der Übernahme des Stiftungsratsmandats umso aufmerksamer machen sollen. Aber auch als durchschnittlich sorgfältiger Stiftungsrat hätte er vordringlich die - konkrete - Anlagestrategie und das Risikoprofil der Stiftung sowie das Verhältnis zwischen der S.________ Ltd. und der U.________ AG erfragen müssen. Das bei den Akten liegende Anlagereglement, Version vom 7. April 2003, weist nämlich kein Genehmigungsdatum auf. Den Stiftungsratsprotokollen lässt sich nichts Gegenteiliges entnehmen. Der Beschwerdeführer kann sich nicht mit dem Vorbringen begnügen, er habe sich auf die Aussagen der anderen involvierten Stiftungsräte, bei denen es sich um ausgewiesene Fachexperten handle, verlassen dürfen. Vordergründig wurde (n) wohl ein positiver Eindruck, vor allem positive Zahlen, vermittelt, wie der Beschwerdeführer geltend macht (z.B. provisorischer Jahresabschluss 2003/2004 mit einem Gewinn, Deckungsgrad per Ende 2004 von 101,1 % bzw. per Ende 2005 von 105,5 %). Der Stiftungsrat kann sich jedoch nicht allein am Ergebnis orientieren; insbesondere reicht der Deckungsgrad als Momentaufnahme nicht aus, um die finanzielle Lage einer Vorsorgeeinrichtung zu beurteilen. Er trägt die Verantwortung für ein gesetzlich und reglementarisch korrektes Handeln (Stiftungsstatut vom 1. Mai 2003 S. 3 oben Ziff. 6), weshalb er sich (auch) um die Gegebenheiten hinter den Zahlen kümmern muss. Dazu gehört die - dem Stiftungsrat als Ganzes zugewiesene (Stiftungsstatut vom 1. Mai 2003 S. 2 f. Punkt 6) - Anlagestrategie, die nicht an einen Dritten übertragbar ist, andernfalls der Grundsatz der Parität und die damit gewährten Mitentscheidungsrechte der Arbeitnehmenden illusorisch gemacht werden ( Art. 51 Abs. 1 BVG , in Kraft seit 1. April 2004; Art. 49a Abs. 1 BVV 2 in der bis Ende 2008 gültigen Fassung; GÄCHTER/GECKELER HUNZIKER, in: Handkommentar zum BVG und FZG, Schneider/Geiser/Gächter [Hrsg.], 2010, N. 55 f. zu Art. 51 BVG ; seit 1. Januar 2012: Art. 51a Abs. 2 lit. m BVG ). Entscheid und Verantwortung verharren diesbezüglich - und verharrten auch in concreto (Stiftungsstatut vom 1. Mai 2003 S. 2-5 Punkte 5-7) - ungeteilt beim Stiftungsrat. Soweit die Durchführung des Anlageprozesses in den Aufgabenbereich eines anderen Stiftungsrates fiel, wie schon vor Vorinstanz argumentiert wurde, so entbindet dieser Umstand nicht davon, sicherzustellen, dass der andere Stiftungsrat die Vermögensverwaltungsgesellschaft regelmässig auf die Anlageziele und -grundsätze kontrolliert ( DOMENICO GULLO, Die Verantwortlichkeit des Stiftungsrats in der Vorsorgeeinrichtung und die Delegation von Aufgaben, in: SZS 2001 S. 48 f. unten). Wird die Umsetzung der Anlagestrategie an einen anderen Stiftungsrat übertragen, so handelt es sich nicht um eine Delegation von Aufgaben und Verantwortung im herkömmlichen Sinne, sondern lediglich um eine Massnahme, die organisatorischer Natur ist und einer effizienten Stiftungsratstätigkeit dient ( ERICH PETER, Leitfaden für Stiftungsräte, Führungsaufgaben und -prozesse in Vorsorgeeinrichtungen, 2014, S. 32 und 35). Dabei steht - in für das Bundesgericht verbindlicher Weise (vgl. E. 1.1 vorne) - fest, dass der Beschwerdeführer zu keiner Zeit für eine Berichterstattung des anderen Stiftungsrats betreffend dessen Kontrolltätigkeit zur Übereinstimmung von Ist und Soll sorgte. Die Berichterstattung erfolgt in der Regel quartalsweise und soll insbesondere Aufschluss über die getätigten Anlagen, den Anlageerfolg (je Anlagekategorie in Relation zum eingegangenen Risiko und im Vergleich mit dem Benchmark) sowie über die Einhaltung von Anlagestrategie und Anlagevorschriften geben ( GULLO, a.a.O., S. 49). Ausserdem hat die Vorinstanz - ebenfalls verbindlich (vgl. E. 1.1 vorne) - festgestellt, dass der Beschwerdeführer niemals der Frage nachgegangen ist, ob die Stiftung dem Vermögensverwalter überhaupt eine Anlagestrategie vorgegeben hatte (angefochtener Entscheid E. 4.7.1.5 S. 173), wie er auch nie vertieft hinterfragt hat, welche Vermögensverwalterin denn nun für die Vermögensverwaltung der Stiftung verantwortlich war (a.a.O. E. 4.7.1.8 S. 182 f. unten). Damit liegt die Verletzung einer elementaren Sorgfaltspflicht vor, die seit Amtsantritt des rund 10-monatigen Mandats aktuell war und deren Wahrnehmung kein Zuwarten erlaubte. Ein promptes Handeln drängte sich umso mehr auf, als sich die Aufgabenverteilung im Stiftungsrat auf keine reglementarische Grundlage resp. ordentliche Beschlussfassung mit klar umschriebenen Kompetenzen abstützen liess, sondern Folge gelebter Verhältnisse war, die nicht weiter definiert waren, wie die Vorinstanz für das Bundesgericht verbindlich festgestellt hat (a.a.O. E. 3.7.3 S. 42; vgl. E. 1.1 vorne). Damit war von vornherein ein grosses Fragezeichen hinter die Rechtmässigkeit der Delegation zu setzen (vgl. Stiftungsstatut vom 1. Mai 2003 S. 3 Ziff. 5 und 6). Im Übrigen wird der Stiftungsrat auch im Rahmen der Delegation an einen Dritten nicht ohne weiteres von seiner Verantwortung entbunden. Auch diesfalls bleibt er für eine sorgfältige Überwachung zuständig (vgl. dazu PETER, a.a.O., S. 33 f.; ISABELLE VETTER-SCHREIBER, BVG, FZG: Kommentar, 3. Aufl. 2013, N. 26 zu Art. 52 BVG ; GULLO, a.a.O., S. 59-62).</w:t>
      </w:r>
    </w:p>
    <w:p>
      <w:r>
        <w:rPr>
          <w:b/>
        </w:rPr>
        <w:t>E. 6.3</w:t>
      </w:r>
    </w:p>
    <w:p>
      <w:r>
        <w:t>Dem Beschwerdeführer wird im Weiteren vorgeworfen, mit der Annahme des Stiftungsratsmandats den unrechtmässigen (vgl. E. 5 vorne) Mittelabfluss von 1,2 Mio. Fr. an die X.________ AG im August 2005 implizit gebilligt zu haben. Er habe es unterlassen, anlässlich der Übernahme des Stiftungsratsmandats abzuklären, ob die Stiftung derartige Finanzierungen überhaupt vornehmen durfte. Damit habe er verhindert, dass der vor seinem Amtsantritt entstandene Schaden rechtzeitig rückgängig gemacht werden konnte (E. 4.7.1.8 i.f. S. 183 des angefochtenen Entscheids).</w:t>
      </w:r>
    </w:p>
    <w:p>
      <w:r>
        <w:rPr>
          <w:b/>
        </w:rPr>
        <w:t>E. 6.3.1</w:t>
      </w:r>
    </w:p>
    <w:p>
      <w:r>
        <w:t>Die Übertragung von 1,2 Mio. Fr. an die X.________ AG basiert auf folgenden - vorinstanzlich verbindlich festgestellten (vgl. E. 1.1) - Gegebenheiten: Die Y.________ AG war Softwarelieferantin der Q.________ AG. Nachdem sie vor dem Konkurs stand, hätte die Q.________ AG eine kostspielige Umstellung ihrer Software vornehmen müssen. In der Folge übernahm die X.________ AG die Vermögenswerte der Y.________ AG. Der Beschwerdeführer benötigte jedoch für den Kauf des Softwareunternehmens einen auswärtigen Investor. Dieser wurde in der U.________ AG gefunden - nach verbindlicher Feststellung der Vorinstanz handelte es sich um die S.________ Ltd. -, als deren Vertreter gemäss Beschwerdeführer der Beklagte 4 fungierte. Die U.________ AG tätigte in der Folge das Investment via die Q.________ AG (E. 4.7.1.1 S. 160 und 4.7.1.8 S. 182 unten des kantonalen Entscheids).</w:t>
      </w:r>
    </w:p>
    <w:p>
      <w:r>
        <w:rPr>
          <w:b/>
        </w:rPr>
        <w:t>E. 6.3.2</w:t>
      </w:r>
    </w:p>
    <w:p>
      <w:r>
        <w:t>Es trifft wohl zu, dass der Mittelabfluss (von 1,2 Mio. Fr.) bei Amtsantritt des Beschwerdeführers bereits vonstatten gegangen war. Das heisst jedoch nicht, dass er dafür nicht verantwortlich gemacht werden kann. Das besagte und dem Beschwerdeführer - auch gemäss eigenen Angaben (Klageantwort vom 2. September 2011 S. 4) - bekannte Investment der U.________ AG blieb ein aktuelles resp. laufendes Geschäft, das gleichermassen wie die Neuanlagen ab Übernahme des Mandats der soeben dargelegten Überprüfungspflicht (vgl. E. 6.2.3 vorne) unterlag. Dies war erst recht geboten, als sich der Beschwerdeführer - für das Bundesgericht verbindlich festgestellt (vgl. E. 1.1 vorne) - zu keinem Zeitpunkt Klarheit darüber verschafft hatte, dass es sich bei den Mitteln, die der X.________ AG zur Verfügung gestellt worden waren, nicht um Pensionskassengelder handelte (E. 4.7.1.8 S. 182 des vorinstanzlichen Entscheids). Zu dieser Abklärung bestand zwingend Anlass, weil beim Teilbetrag von Fr. 180'000.- (Darlehensübergang) eindeutig Stiftungsmittel im Spiel waren.</w:t>
      </w:r>
    </w:p>
    <w:p>
      <w:r>
        <w:rPr>
          <w:b/>
        </w:rPr>
        <w:t>E. 7</w:t>
      </w:r>
    </w:p>
    <w:p>
      <w:r>
        <w:t>Vor dem Hintergrund des in E. 6 Gesagten stellt die Passivität des Beschwerdeführers ein grobfahrlässiges und schuldhaftes Verhalten dar. Allein sein Versäumnis auf der Kontrollebene (vgl. E. 6.2 und 6.3 vorne) ist als besonders gravierend anzusehen. Die entsprechende Unterlassung - der Beschwerdeführer hat keine Dokumente angefordert, aus denen hervorgegangen wäre, dass die Tätigkeit der Vermögensverwaltungsgesellschaften in regelmässigen Abständen auf die Anlageziele und -grundsätze kontrolliert wird - hat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Der Beschwerdeführer vertritt die Auffassung, die Vorinstanz habe sich zur Begründung des (hypothetischen und gleichzeitig adäquaten) Kausalzusammenhangs ausschliesslich auf die allgemeine Lebenserfahrung gestützt (E. 4.7.3 S. 191 des kantonalen Entscheids). Dessen ungeachtet kann - auch bei einer freien Prüfung - seiner Sicht der Dinge nicht gefolgt werden. Der Beschwerdeführer hält den Erwägungen des kantonalen Gerichts vorab entgegen, dieses gehe fälschlicherweise davon aus, dass er sich passiv verhalten habe. Die konkrete Verhaltensweise des Beschwerdeführers ist in der vorliegenden Erwägung allein Ausgangspunkt und nicht (mehr) Prüfungsobjekt (vgl. E. 8.1 vorne). Sie war bereits Untersuchungsgegenstand, nämlich bei der Frage nach der Sorgfaltspflichtverletzung (vgl. E. 6 vorne). Ferner beruft sich der Beschwerdeführer darauf, er hätte auch bei weiterem hartnäckigen Nachfragen bei den übrigen Beklagten nichts erfahren, das dienlich gewesen wäre, um eine Vergrösserung des Schadens zu vermeiden. Er wäre weiterhin mit falschen Informationen versorgt und die Zahlen wären weiterhin positiv dargestellt worden. Dazu ist zu wiederholen, dass sich die unterlassene Überwachung auf die Fakten hinter den Zahlen bezieht (vgl. E. 6.2.3 vorne). Die Wahrnehmung der in jener Erwägung aufgezeigten Sorgfaltspflicht - Vergewisserung, dass die Anlageziele und -grundsätze bei der Umsetzung eingehalten werden - setzt belegte Kenntnisse über den Soll-Zustand (als Massstab und Ausgang der Kontrolle) voraus. Die diesbezügliche Informationsbeschaffung durch "hören sagen" wird ihr nicht gerecht. Die Überwachung der Vermögensanlage resp. Vermögensbewirtschaftung hat seit jeher "nachvollziehbar" zu erfolgen (vgl. Art. 49a Abs. 1 BVV 2 in den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[U.________ AG plus L.________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Von Anfang an demonstrierte Aufmerksamkeit und beharrliches Pochen auf Reglements- und Gesetzesmässigkeit hätten den bestehenden Freiraum (vgl. E. 7 vorne) prompt geschlossen. Im äussersten Fall hätte der Beschwerdeführer die Stiftung bei der Aufsichtsbehörde verzeigt, die unverzüglich eingeschritten wäre (vgl. SZS 2012 S. 374, 9C_823/2011 E. 2.2). Denn es standen offensichtlich, anders als in anderer (fallbezogener) Angelegenheit, in der die Aufsichtsbehörde scheinbar eine abwartende Haltung eingenommen hatte, die vitalen Interessen der Stiftung auf dem Spiel. Mit der Schlussfolgerung der Vorinstanz, dass die Mittel, die unrechtmässig an die X.________ AG geflossen sind, mit überwiegender Wahrscheinlichkeit zusätzlich wieder in die Stiftung hätten zurückgeholt werden können, setzt sich der Beschwerdeführer mit keinem Wort auseinander. Dabei hat es sein Bewenden (vgl. E. 1.2 vorne).</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Soweit der Beschwerdeführer vorbringt, er habe wegen des "komplexen Lügengebäudes" keinen Handlungsbedarf erkennen können, lässt er ausser Acht, dass dieser "zweitrangig" ist und sich erst nach Ausübung der obliegenden Sorgfaltspflicht resp. nach Analyse der sich dabei präsentierenden Sachlage stellt. Abgesehen davon kann hinsichtlich des hier fraglichen Aufgabenbereichs (vgl. E. 6.2.3 vorne) eine Irreführung durch deliktisches Handeln ausgeschlossen werden (vgl. E. 2.1 vorne). Zudem erweist sich die Sorgfaltspflichtverletzung, die der Beschwerdeführer begangen hat und ausschliesslich in seinem Verantwortungsbereich anzusiedeln ist, als derart grundlegend (vgl. E. 6.2.3 und E.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VETTER-SCHREIBER, a.a.O., N. 3 zu Art. 56a BVG ), welche Bestimmung im vorliegend zu erörternden Punkt vor allem interessiert, da sie - was den haftpflichtigen Personenkreis betrifft - über die Organhaftung hinausgeht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kein Herabsetzungsgrund nach Art. 43 Abs. 1 OR und dem hier in Frage kommenden Art. 44 Abs. 2 OR besteht (E. 4.7.4.2 S. 202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7 vorne - nicht die Rede sein.</w:t>
      </w:r>
    </w:p>
    <w:p>
      <w:r>
        <w:rPr>
          <w:b/>
        </w:rPr>
        <w:t>E. 9.3</w:t>
      </w:r>
    </w:p>
    <w:p>
      <w:r>
        <w:t>Die Vorinstanz beziffert den Schaden, für den der Beschwerdeführer in zeitlicher Hinsicht verantwortlich zeichnet (vgl. E. 6.2 und E. 6.3 vorne), auf Fr. 6'401'254.- (E. 4.7.5 S. 204 unten des kantonalen Entscheids). Diese Summe ist rechnerisch unbestritten.</w:t>
      </w:r>
    </w:p>
    <w:p>
      <w:r>
        <w:rPr>
          <w:b/>
        </w:rPr>
        <w:t>E. 10</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11</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