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9C_260/2018 vom 18. Dezember 2018</w:t>
      </w:r>
    </w:p>
    <w:p>
      <w:r>
        <w:t>Bundesgericht, 2018-12-18, DE</w:t>
      </w:r>
    </w:p>
    <w:p>
      <w:r>
        <w:rPr>
          <w:b/>
        </w:rPr>
        <w:t xml:space="preserve">Quelle: </w:t>
      </w:r>
      <w:r>
        <w:t>https://mcp.opencaselaw.ch/entscheid/bger_9C_260_2018</w:t>
      </w:r>
    </w:p>
    <w:p>
      <w:r>
        <w:t>FR: TF 9C_260/2018 du 18 décembre 2018</w:t>
      </w:r>
    </w:p>
    <w:p>
      <w:r>
        <w:t>IT: TF 9C_260/2018 del 18 dicembre 2018</w:t>
      </w:r>
    </w:p>
    <w:p>
      <w:pPr>
        <w:pStyle w:val="Heading2"/>
      </w:pPr>
      <w:r>
        <w:t>Erwägungen</w:t>
      </w:r>
    </w:p>
    <w:p>
      <w:r>
        <w:rPr>
          <w:b/>
        </w:rPr>
        <w:t>E. 1</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143 V 363 E. 2 S. 365 f.; 135 V 153 E. 1.2 S. 155 f.).</w:t>
      </w:r>
    </w:p>
    <w:p>
      <w:r>
        <w:rPr>
          <w:b/>
        </w:rPr>
        <w:t>E. 2.1</w:t>
      </w:r>
    </w:p>
    <w:p>
      <w:r>
        <w:t>Nach Artikel 58 Abs. 1 ATSG (i.V. mit Art. 1 ELG ) ist das Versicherungsgericht desjenigen Kantons zuständig, in dem die versicherte Person oder der Beschwerde führende Dritte zur Zeit der Beschwerdeerhebung Wohnsitz hat. In BGE 139 V 170 E. 5.3 S. 175 hat das Bundesgericht bestätigt, dass zur Bestimmung der örtlichen Zuständigkeit an den Wohnsitz der versicherten Person anzuknüpfen ist.</w:t>
      </w:r>
    </w:p>
    <w:p>
      <w:r>
        <w:rPr>
          <w:b/>
        </w:rPr>
        <w:t>E. 2.2</w:t>
      </w:r>
    </w:p>
    <w:p>
      <w:r>
        <w:t>Die Vorinstanz weist darauf hin, dass im Bereich der Ergänzungsleistungen ein wesentlicher Teil kantonal ausgestaltet sei, was sich namentlich bei den Krankheits- und Behinderungskosten zeige. Dieser Bezug der Ergänzungsleistungen zu jeweiliger kantonaler Hoheit sei bei der Frage des Gerichtsstandes zu berücksichtigen. Das ELG enthalte jedoch keine entsprechende Ordnung, weshalb eine Lücke anzunehmen sei. Soweit es um die Ergänzungsleistung für die obligatorische Krankenpflegeversicherung bei Wohnsitzwechsel geht ( Art. 54a Abs. 4 ELV ), sei der Wohnsitz im Zeitraum massgebend, für welchen die Anspruchsberechtigung besteht. Ebenso sei für die Vergütung von Krankheits- und Behinderungskosten nach der Verwaltungspraxis der Kanton zuständig, in dem die EL-beziehende Person Wohnsitz hatte, als die Behandlung oder der Kauf erfolgte. Erforderlich sei eine Übereinstimmung von anwendbarer kantonaler Rechtsordnung und örtlich zuständigem kantonalem Versicherungsgericht sowie der örtlichen Zuständigkeit von für Festsetzung und Auszahlung zuständiger EL-Behörde und nach Art. 58 ATSG überprüfendem Versicherungsgericht. Für die Festsetzung und Ausrichtung der Ergänzungsleistung der Beschwerdeführerin sei bis Januar 2016 der Kanton Thurgau zuständig gewesen. Der Kanton Thurgau sei in der Folge zum Erlass der Rückforderungsverfügung für den Zeitraum bis Januar 2016 zuständig geblieben. Aus diesen Gründen sei die Zuständigkeit des Verwaltungsgerichts des Kantons Thurgau als Gericht am Ort mit dem direktesten Bezug zur Sache anzunehmen. Entscheidrelevant sei der EL-Anspruch während der Dauer des Wohnsitzes im Kanton Thurgau. Dessen Gericht stehe dem zu beurteilenden Sachverhalt am nächsten, was als Grundgedanke von Art. 58 Abs. 1 ATSG zu betrachten sei.</w:t>
      </w:r>
    </w:p>
    <w:p>
      <w:r>
        <w:rPr>
          <w:b/>
        </w:rPr>
        <w:t>E. 3.1</w:t>
      </w:r>
    </w:p>
    <w:p>
      <w:r>
        <w:t>Eine Änderung der Rechtsprechung lässt sich nur begründen, wenn die neue Lösung besserer Erkenntnis des Gesetzeszwecks, veränderten äusseren Verhältnissen oder gewandelten Rechtsanschauungen entspricht ( BGE 143 IV 1 E. 5.2 S. 3; 141 II 297 E. 5.5.1 S. 303 mit Hinweisen).</w:t>
      </w:r>
    </w:p>
    <w:p>
      <w:r>
        <w:rPr>
          <w:b/>
        </w:rPr>
        <w:t>E. 3.2</w:t>
      </w:r>
    </w:p>
    <w:p>
      <w:r>
        <w:t>Gründe, welche im Lichte der zitierten Rechtsprechung eine Praxisänderung herbeizuführen vermöchten, bringt das kantonale Gericht nicht vor. Es beschränkt sich vielmehr auf die Erwähnung einzelner Regelungen aus dem materiellen EL-Recht, aus welchen sich die Zuständigkeit des jeweiligen kantonalen Gerichts ergebe. Dies gelte insbesondere für den Bereich der Krankheits- und Behinderungskosten. Aus diesem Umstand lassen sich jedoch keine Argumente zu Gunsten einer Änderung der Rechtsprechung gemäss BGE 139 V 170 gewinnen, und namentlich liegt keine Gesetzeslücke vor, da Art. 58 Abs. 1 ATSG die Zuständigkeit der kantonalen Versicherungsgerichte umfassend regelt. Die formelle Frage der örtlichen Zuständigkeit kann nicht unter Berufung auf einzelne materielle Bestimmungen aus dem EL-Recht abweichend von der im ATSG getroffenen Lösung geregelt werden.</w:t>
      </w:r>
    </w:p>
    <w:p>
      <w:r>
        <w:rPr>
          <w:b/>
        </w:rPr>
        <w:t>E. 3.3</w:t>
      </w:r>
    </w:p>
    <w:p>
      <w:r>
        <w:t>Da die EL-Bezügerin bei Einreichung der Beschwerde beim Verwaltungsgericht des Kantons Thurgau am 28. April 2016 ihren Wohnsitz im Kanton St. Gallen hatte, ist gemäss Art. 58 Abs. 1 ATSG das Versicherungsgericht des Kantons St. Gallen zur Beurteilung der Beschwerde zuständig.</w:t>
      </w:r>
    </w:p>
    <w:p>
      <w:r>
        <w:rPr>
          <w:b/>
        </w:rPr>
        <w:t>E. 4</w:t>
      </w:r>
    </w:p>
    <w:p>
      <w:r>
        <w:t>Dem Verfahrensausgang entsprechend sind die Gerichtskosten der Ausgleichskasse des Kantons Thurgau aufzuerlegen ( Art. 66 Abs. 1 Satz 1 BGG ). Diese hat der Beschwerdeführerin überdies eine Parteientschädigung zu bezahlen ( Art. 68 Abs. 1 und 2 BGG ). Damit ist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