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9C_260/2015 vom 13. Mai 2015</w:t>
      </w:r>
    </w:p>
    <w:p>
      <w:r>
        <w:t>Bundesgericht, 2015-05-13, DE</w:t>
      </w:r>
    </w:p>
    <w:p>
      <w:r>
        <w:rPr>
          <w:b/>
        </w:rPr>
        <w:t xml:space="preserve">Quelle: </w:t>
      </w:r>
      <w:r>
        <w:t>https://mcp.opencaselaw.ch/entscheid/bger_9C_260_2015</w:t>
      </w:r>
    </w:p>
    <w:p>
      <w:r>
        <w:t>FR: TF 9C_260/2015 du 13 mai 2015</w:t>
      </w:r>
    </w:p>
    <w:p>
      <w:r>
        <w:t>IT: TF 9C_260/2015 del 13 maggio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richtet sich gegen einen Zwischenentscheid im Sinne von Art. 92 f. BGG, folgt doch die Qualifikation des angefochtenen Gerichtsentscheids der Rechtsnatur des Anfechtungsobjekts im kantonalen Prozess ( BGE 138 V 271 E. 2.1 S. 277). In diesem Rahmen kann ein Entscheid betreffend Fragen der Anordnung einer polydisziplinären Administrativbegutachtung - auch mit Blick auf die Verfahrensgarantien nach BV und EMRK ( BGE 138 V 271 E. 3.1 S. 278 mit Hinweisen) - nur an das Bundesgericht weitergezogen werden, sofern der angefochtene Entscheid den Ausstand einer sachverständigen Person im konkreten Fall betrifft (vgl. Art. 92 Abs. 1 BGG ; BGE 138 V 271 E. 4 S. 280). Hinsichtlich anderer Aspekte prüft das Bundesgericht die Bundesrechtskonformität der Gutachtenanordnung gegebenenfalls zusammen mit dem Endentscheid (vgl. Art. 93 Abs. 3 BGG ). Diese Eintretensordnung gilt auch im Zusammenhang mit der Einholung einer mono- oder, wie hier, bidisziplinären Expertise (Urteil 9C_207/2012 vom 3. Juli 2013 E. 1.2.2, nicht publ. in: BGE 139 V 349 , aber in: SVR 2013 IV Nr. 31 S. 91). Auf die Beschwerde wäre demzufolge nur insoweit einzutreten, als formelle Ablehnungsgründe im Raum stehen.</w:t>
      </w:r>
    </w:p>
    <w:p>
      <w:r>
        <w:rPr>
          <w:b/>
        </w:rPr>
        <w:t>E. 2</w:t>
      </w:r>
    </w:p>
    <w:p>
      <w:r>
        <w:t>Es liegen keine spezifisch auf den Fall der Beschwerdeführerin bezogenen Ablehnungsgründe im Sinne der zitierten Rechtsprechung vor: Formelle Ablehnungsgründe können weder allein mit strukturellen Umständen begründet werden, wie sie in BGE 137 V 210 behandelt worden sind, noch können sie mit den Schilderungen negativer Erfahrungen anderer Versicherter bezüglich bestimmter Sachverständigen in früheren Fällen dargetan werden ( BGE 138 V 271 E. 2.2.2 S. 277; Urteil 9C_146/2013 vom 20. März 2013 E. 2). Mit der Auflage von 15 (anonymisierten) Expertisen des Dr. med. B.________, welche unbestrittenermassen allesamt andere versicherte Personen betreffen, rügt die Beschwerdeführerin letztlich, in den angeblichen Fehlleistungen manifestierten sich systemimmanente Gefährdungen der Verfahrensfairness ( BGE 138 V 271 E. 2.2.2 i.f. S. 277). Sodann beschlägt die Rüge der unzureichenden Bemühungen um eine Einigung über die zu beauftragenden Gutachter Verfahrensfragen, die grundsätzlich nicht im Zwischenverfahren zu prüfen sind ( BGE 138 V 271 E. 4 S. 280; Urteil 9C_718/2013 vom 12. August 2014 E. 3.3 und 4, publ. in: SVR 2015 IV Nr. 3 S. 6; vgl. auch Urteile 8C_974/2012 vom 6. Dezember 2012; 8C_735/2012 vom 5. Oktober 2012 und 9C_532/2012 vom 14. August 2012), wobei - entgegen der Meinung der Beschwerdeführerin - zu einer Neubeurteilung der Sach- und Rechtslage gemäss Ausführungen in der letztinstanzlichen Beschwerde im heutigen Zeitpunkt kein Anlass besteht (vgl. BGE 138 V 271 E. 4 i.f. S. 280). Auch im Rahmen des Antrags auf Aussonderung von Verfahrensakten wird kein formeller Ausstandsgrund dargetan. Mithin kann die letztinstanzliche Beschwerde - da es sich nach dem Gesagten beim angefochtenen Entscheid nicht um einen Zwischenentscheid im Sinne von Art. 92 Abs. 1 BGG handelt - nicht an die Hand genommen werden. Da die erwähnten Rügen im Zuge der Anfechtung des Endentscheids vor Bundesgericht immer noch erhoben werden können ( Art. 93 Abs. 3 BGG ), besteht schliesslich auch kein Anlass, in diesem Verfahren der Frage nachzugehen, ob die vorinstanzliche Erhebung von Gerichtskosten für den angefochtenen Zwischenentscheid vor Art. 69 Abs. 1bis IVG standhält.</w:t>
      </w:r>
    </w:p>
    <w:p>
      <w:r>
        <w:rPr>
          <w:b/>
        </w:rPr>
        <w:t>E. 3</w:t>
      </w:r>
    </w:p>
    <w:p>
      <w:r>
        <w:t>Dem Ausgang des Verfahrens entsprechend wird die Beschwerdeführerin kostenpflichtig. Die Erledigung im vereinfachten Verfahren ( Art. 108 Abs. 1 lit. a und Abs. 2 BGG ) führt zu reduzierten Gerichtskosten ( Art. 66 Abs. 1 BGG ; vgl. Urteil 9C_146/2013 vom 20. März 2013 E. 3 mit Hinweis).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