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260/2013 vom 9. August 2013</w:t>
      </w:r>
    </w:p>
    <w:p>
      <w:r>
        <w:t>Bundesgericht, 2013-08-09, FR</w:t>
      </w:r>
    </w:p>
    <w:p>
      <w:r>
        <w:rPr>
          <w:b/>
        </w:rPr>
        <w:t xml:space="preserve">Quelle: </w:t>
      </w:r>
      <w:r>
        <w:t>https://mcp.opencaselaw.ch/entscheid/bger_9C_260_2013</w:t>
      </w:r>
    </w:p>
    <w:p>
      <w:r>
        <w:t>FR: TF 9C 260/2013 du 9 août 2013</w:t>
      </w:r>
    </w:p>
    <w:p>
      <w:r>
        <w:t>IT: TF 9C 260/2013 del 9 agosto 2013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Appliquant la méthode mixte d'évaluation de l'invalidité, la juridiction cantonale a considéré que le degré d'invalidité global présenté par l'intimée donnait droit à un quart de rente d'invalidité. En effet, si l'intimée avait été en bonne santé, elle aurait consacré 87,5 % de son temps à l'exercice de son activité professionnelle et le reste à l'accomplissement de ses travaux habituels. Selon le rapport d'expertise du docteur F.________, des conclusions duquel il n'y avait pas lieu de s'écarter, la capacité résiduelle de travail de l'intimée était de 60 %, ce qui donnait, après comparaison des revenus, un degré d'invalidité pour la part consacrée à l'activité lucrative de 47 %. Compte tenu également d'une entrave de 6,3 % dans l'accomplissement des travaux habituels, on parvenait à un taux d'invalidité global de 42 % ([0,875 x 47 %] + [0,125 x 6,3 %]).</w:t>
      </w:r>
    </w:p>
    <w:p>
      <w:r>
        <w:rPr>
          <w:b/>
        </w:rPr>
        <w:t>E. 3.1</w:t>
      </w:r>
    </w:p>
    <w:p>
      <w:r>
        <w:t>Dans un premier grief, l'office recourant conteste le choix de la méthode d'évaluation de l'invalidité opéré par la juridiction cantonale. Il lui reproche d'avoir procédé à une appréciation arbitraire des preuves et d'avoir violé le droit fédéral en reconnaissant à l'intimée un statut mixte en lieu et place du statut d'une personne qui n'exerce pas d'activité lucrative.</w:t>
      </w:r>
    </w:p>
    <w:p>
      <w:r>
        <w:rPr>
          <w:b/>
        </w:rPr>
        <w:t>E. 3.2</w:t>
      </w:r>
    </w:p>
    <w:p>
      <w:r>
        <w:t>Les arguments allégués par l'office recourant ne sont pas de nature à faire apparaître comme insoutenable, voire arbitraire le raisonnement adopté par la juridiction cantonale. Comme il ressort de la jurisprudence ( ATF 137 V 334 consid. 3.2 p. 338 et les références), il convient pour déterminer la méthode applicable au cas particulier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définitive qu'à l'expérience générale de la vie (cf. ATF 117 V 194 consid. 3b in fine p. 195). Or, compte tenu des éléments retenus dans le jugement attaqué, rien n'indique que les premiers juges aient évalué de manière manifestement insoutenable, au regard de l'expérience générale de la vie, la situation globale de l'intimée. Eu égard à la situation financière et familiale (modestie des revenus du mari; enfants désormais adultes), il est parfaitement concevable d'envisager qu'elle aurait exercé une activité lucrative à un temps quasiment complet, ce qu'elle avait d'ailleurs fait au cours des huit premiers mois de l'année 2005 avant d'être atteinte dans sa santé (chute sur le lieu de travail le 10 juillet 2005 et accident de la circulation routière le 16 novembre 2005). Le fait que les démarches entreprises à compter du mois de juin 2006 auprès de l'assurance-chômage n'aient pas abouti à la reprise d'une activité lucrative ne saurait constituer un indice suffisant pour établir l'absence de volonté de reprendre un travail. Certes, il semblerait que l'intimée ait refusé un poste auquel l'assurance-chômage l'avait assignée et qu'elle n'ait pas déployé tous les efforts raisonnablement exigibles pendant et à l'issue du délai-cadre d'indemnisation pour retrouver un emploi. Il convient toutefois de souligner, comme l'a mis en évidence la juridiction cantonale, que la détermination de l'intimée était probablement influencée par la perception qu'elle avait de ses problèmes de santé et de son aptitude à exercer une activité lucrative (voir également les rapports médicaux établis les 12 juillet et 30 août 2010 par les docteurs V.________ et D.________ attestant d'une incapacité totale de travailler). En l'occurrence, l'office recourant ne fait qu'opposer sa propre appréciation de la situation à celle de la juridiction cantonale, sans démontrer en quoi l'opinion de cette dernière serait arbitraire ou manifestement inexacte.</w:t>
      </w:r>
    </w:p>
    <w:p>
      <w:r>
        <w:rPr>
          <w:b/>
        </w:rPr>
        <w:t>E. 4.1</w:t>
      </w:r>
    </w:p>
    <w:p>
      <w:r>
        <w:t>Dans un second grief, l'office recourant conteste la manière dont la juridiction cantonale a fixé le degré d'invalidité dans la part consacrée à l'exercice d'une activité lucrative. Il estime que dans la mesure où l'intimée disposait d'une capacité résiduelle de travail dans la dernière activité qu'elle avait exercée, le degré d'invalidité pouvait correspondre au degré d'incapacité de travail. Dans ces conditions, il n'y avait pas lieu de procéder à une comparaison des revenus comme l'avait fait la juridiction cantonale.</w:t>
      </w:r>
    </w:p>
    <w:p>
      <w:r>
        <w:rPr>
          <w:b/>
        </w:rPr>
        <w:t>E. 4.2</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 ATF 114 V 310 consid. 3 p. 312; voir également arrêts U 85/95 du 7 septembre 1995 consid. 3b, in RAMA 1996 n° U 237 p. 36 et I 472/98 du 28 juillet 1999 consid. 3b). Les revenus avec et sans invalidité doivent être évalués avant tout en fonction de la situation professionnelle concrète de la personne assurée. En règle générale,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129 V 472 consid. 4.2.1 p. 475).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(arrêt U 243/99 du 23 mai 2000 consid. 2b) -, il était superflu de les chiffrer avec exactitude. En pareil cas, le degré d'invalidité se confondait avec celui de l'incapacité de travail, sous réserve d'une éventuelle réduction du revenu d'invalide afin de tenir compte, conformément aux principes développés à l' ATF 126 V 75 , de l'ensemble des circonstances personnelles et professionnelles du cas particulier (arrêt I 1/03 du 15 avril 2003 consid. 5.2).</w:t>
      </w:r>
    </w:p>
    <w:p>
      <w:r>
        <w:rPr>
          <w:b/>
        </w:rPr>
        <w:t>E. 4.3</w:t>
      </w:r>
    </w:p>
    <w:p>
      <w:r>
        <w:t>Sur le vu de ce qui précède, force est de constater que la manière de procéder de la juridiction cantonale est conforme au droit fédéral. En l'absence de revenu effectivement réalisé, c'est à bon droit que la juridiction cantonale s'est référée aux données statistiques et qu'elle s'est demandé s'il se justifiait d'opérer un abattement afin de tenir compte des circonstances personnelles et professionnelles du cas particulier (voir arrêt I 733/99 du 31 mai 2000 consid. 4b/bb).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Le fait que le revenu sans invalidité ait lui-même été fixé sur la base des mêmes données statistiques importe à cet égard peu, car le choix d'opérer ou non un abattement est indépendant de la manière dont le revenu sans invalidité a été fixé. Dans la mesure où l'office recourant ne conteste pas les termes de la comparaison des revenus effectuée par la juridiction cantonale, singulièrement le bien-fondé et l'étendue de l'abattement opéré sur le salaire statistique pris en compte pour fixer le revenu d'invalide de l'intimée, le jugement entrepris ne peut être par conséquent que confirmé.</w:t>
      </w:r>
    </w:p>
    <w:p>
      <w:r>
        <w:rPr>
          <w:b/>
        </w:rPr>
        <w:t>E. 5</w:t>
      </w:r>
    </w:p>
    <w:p>
      <w:r>
        <w:t>Mal fondé, le recours doit être rejeté. Vu l'issue du litige, les frais et les dépens de la procédure sont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