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9C_25/2017 vom 11. Mai 2017</w:t>
      </w:r>
    </w:p>
    <w:p>
      <w:r>
        <w:t>Bundesgericht, 2017-05-11, DE</w:t>
      </w:r>
    </w:p>
    <w:p>
      <w:r>
        <w:rPr>
          <w:b/>
        </w:rPr>
        <w:t xml:space="preserve">Quelle: </w:t>
      </w:r>
      <w:r>
        <w:t>https://mcp.opencaselaw.ch/entscheid/bger_9C_25_2017</w:t>
      </w:r>
    </w:p>
    <w:p>
      <w:r>
        <w:t>FR: TF 9C_25/2017 du 11 mai 2017</w:t>
      </w:r>
    </w:p>
    <w:p>
      <w:r>
        <w:t>IT: TF 9C_25/2017 del 11 maggio 2017</w:t>
      </w:r>
    </w:p>
    <w:p>
      <w:pPr>
        <w:pStyle w:val="Heading2"/>
      </w:pPr>
      <w:r>
        <w:t>Erwägungen</w:t>
      </w:r>
    </w:p>
    <w:p>
      <w:r>
        <w:rPr>
          <w:b/>
        </w:rPr>
        <w:t>E. 1</w:t>
      </w:r>
    </w:p>
    <w:p>
      <w:r>
        <w:t>Streitig und zu prüfen ist, ob das kantonale Gericht zu Recht über den 31. Januar 2010 hinaus einen Rentenanspruch bejaht und ab 1. Februar 2010 eine Viertelsrente sowie ab 1. April 2012 eine ganze Rente zugesprochen hat.</w:t>
      </w:r>
    </w:p>
    <w:p>
      <w:r>
        <w:rPr>
          <w:b/>
        </w:rPr>
        <w:t>E. 2.1</w:t>
      </w:r>
    </w:p>
    <w:p>
      <w:r>
        <w:t>Die Vorinstanz zog zur Beurteilung des Gesundheitszustands in psychiatrischer Hinsicht unter anderem das Gutachten des Dr. med. C.________ vom 11. Juni 2013 heran, welches sie als beweiskräftig erachtete. Danach stehe beim Versicherten eine posttraumatische Belastungsstörung im Zentrum. Sie erwog im Weiteren, aufgrund der diagnostizierten posttraumatischen Belastungsstörung sei ein strukturiertes Beweisverfahren unter Verwendung der Standardindikatoren nach Massgabe von BGE 141 V 281 durchzuführen. Dabei kam das kantonale Gericht zum Ergebnis, in einer abschliessenden Würdigung des Beschwerdebildes anhand der Standardindikatoren sei die Einschätzung einer 100%igen Arbeitsunfähigkeit, wie sie sich aus dem Gutachten des Dr. med. C.________ vom 11. Juni 2013 sowie der Würdigung der weiteren medizinischen Akten ergebe, nicht in Frage zu stellen.</w:t>
      </w:r>
    </w:p>
    <w:p>
      <w:r>
        <w:rPr>
          <w:b/>
        </w:rPr>
        <w:t>E. 2.2</w:t>
      </w:r>
    </w:p>
    <w:p>
      <w:r>
        <w:t>Soweit die IV-Stelle in der Beschwerde die vorinstanzliche Auffassung - insbesondere in Bezug auf die Diagnose - nicht teilt und integral auf ihre Verfügung vom 12. Februar 2016 verweist, lässt sie ausser Acht, dass nicht nur die Rüge, sondern auch deren Begründung in der Beschwerdeschrift selbst enthalten sein müssen. Der reine Verweis auf gemachte Ausführungen in der Verfügung, worauf sich die IV-Stelle in dieser Hinsicht beschränkt, genügt nicht ( BGE 141 V 416 E. 4 S. 421).</w:t>
      </w:r>
    </w:p>
    <w:p>
      <w:r>
        <w:rPr>
          <w:b/>
        </w:rPr>
        <w:t>E. 2.3</w:t>
      </w:r>
    </w:p>
    <w:p>
      <w:r>
        <w:t>Tatsachenwidrig ist sodann die Rüge der Beschwerdeführerin, die Vorinstanz habe im Rahmen der "Ressourcenprüfung" nach BGE 141 V 281 den Aspekt der "Konsistenz" nicht geprüft. Es ist hierfür auf die Erwägung 5.3.2 des angefochtenen Entscheids hinzuweisen, worin sich das kantonale Gericht zum Aktivitätsniveau und zum Leidensdruck des Versicherten geäussert hat, welche beiden verhaltensbezogenen Kriterien der Kategorie "Konsistenz" zuzuordnen sind (vgl. BGE 141 V 281 E. 4.4 S. 303 f.).</w:t>
      </w:r>
    </w:p>
    <w:p>
      <w:r>
        <w:rPr>
          <w:b/>
        </w:rPr>
        <w:t>E. 2.4</w:t>
      </w:r>
    </w:p>
    <w:p>
      <w:r>
        <w:t>Gemäss Beschwerdeführerin hat die Vorinstanz zudem die von ihr im Verwaltungsverfahren eingeholten Akten des Strassenverkehrs- und des Migrationsamtes nicht gewürdigt, weshalb der angefochtene Entscheid unzureichend begründet sei. Dem kann ebenfalls nicht gefolgt werden. Das kantonale Gericht nahm die entsprechenden Akten zur Kenntnis, wie aus dem Sachverhalt des vorinstanzlichen Entscheids hervorgeht. Es würdigte diese im Anschluss nicht explizit, was jedoch nicht zu schaden vermag. Denn die aus dem Anspruch auf rechtliches Gehör fliessende Begründungspflicht ( Art. 29 Abs. 2 BV ; Art. 61 lit. h ATSG ) erfordert nicht, dass sich das Gericht mit allen Akten einlässlich auseinandersetzt. Vielmehr kann es sich auf die für seinen Entscheid wesentlichen Punkte beschränken (statt vieler: Urteil 8C_391/2015 vom 11. August 2015 E. 3.2 mit weiteren Hinweisen). Massgeblich ist, dass das Gericht in seiner Begründung die Überlegungen nennt, von denen es sich hat leiten lassen, damit der Entscheid sachgerecht angefochten werden kann (vgl. BGE 138 IV 81 E. 2.2 S. 84 ; 136 I 229 E. 5.2 S. 236). Überdies behauptet die IV-Stelle pauschal und unsubstanziiert, basierend auf den Akten des Strassenverkehrs- und Migrationsamtes sei weder eine gleichmässige Einschränkung des Aktivitätsniveaus in allen vergleichbaren Lebensbereichen noch ein Leidensdruck ausgewiesen. Insbesondere geht aus ihren Vorbringen, die entsprechenden Akten würden ein anderes Licht auf den Beschwerdegegner werfen, mit keinem Wort hervor, worin die unterschiedliche Sachlage denn überhaupt genau liegt.</w:t>
      </w:r>
    </w:p>
    <w:p>
      <w:r>
        <w:rPr>
          <w:b/>
        </w:rPr>
        <w:t>E. 2.5</w:t>
      </w:r>
    </w:p>
    <w:p>
      <w:r>
        <w:t>Zusammengefasst vermögen die oberflächlichen Rügen der IV-Stelle den vorinstanzlichen Entscheid nicht in Frage zu stellen. Die Beschwerde ist unbegründet und abzuweisen.</w:t>
      </w:r>
    </w:p>
    <w:p>
      <w:r>
        <w:rPr>
          <w:b/>
        </w:rPr>
        <w:t>E. 3</w:t>
      </w:r>
    </w:p>
    <w:p>
      <w:r>
        <w:t>Dem Ausgang des Verfahrens entsprechend hat die Beschwerdeführerin die Gerichtskosten zu tragen ( Art. 66 Abs. 1 BGG ) und dem Beschwerdegegner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