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9C_25/2012 vom 25. April 2012</w:t>
      </w:r>
    </w:p>
    <w:p>
      <w:r>
        <w:t>Bundesgericht, 2012-04-25, FR</w:t>
      </w:r>
    </w:p>
    <w:p>
      <w:r>
        <w:rPr>
          <w:b/>
        </w:rPr>
        <w:t xml:space="preserve">Quelle: </w:t>
      </w:r>
      <w:r>
        <w:t>https://mcp.opencaselaw.ch/entscheid/bger_9C_25_2012</w:t>
      </w:r>
    </w:p>
    <w:p>
      <w:r>
        <w:t>FR: TF 9C_25/2012 du 25 avril 2012</w:t>
      </w:r>
    </w:p>
    <w:p>
      <w:r>
        <w:t>IT: TF 9C_25/2012 del 25 aprile 2012</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1.2</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Quant aux règles légales et jurisprudentielles sur la manière d'effectuer la comparaison des revenus (prévue à l' art. 16 LPGA ), y compris celles concernant l'utilisation de l'Enquête suisse sur la structure des salaires (ESS), elles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 ( ATF 132 V 393 consid. 3.3 p. 399).</w:t>
      </w:r>
    </w:p>
    <w:p>
      <w:r>
        <w:rPr>
          <w:b/>
        </w:rPr>
        <w:t>E. 2</w:t>
      </w:r>
    </w:p>
    <w:p>
      <w:r>
        <w:t>Le litige a trait au droit de la recourante à une rente d'invalidité et porte sur l'atteinte à la santé qu'elle présente sur le plan somatique et ses conséquences sur sa capacité de travail et de gain, singulièrement sur le point de savoir si la recourante peut encore exploiter économiquement sa capacité de gain résiduelle sur le marché du travail.</w:t>
      </w:r>
    </w:p>
    <w:p>
      <w:r>
        <w:rPr>
          <w:b/>
        </w:rPr>
        <w:t>E. 2.1</w:t>
      </w:r>
    </w:p>
    <w:p>
      <w:r>
        <w:t>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131 V 242 consid. 2.1 p. 243; 121 V 362 consid. 1b p. 366). Les faits survenus postérieurement doivent cependant être pris en considération dans la mesure où ils sont étroitement liés à l'objet du litige et de nature à influencer l'appréciation au moment où la décision attaquée a été rendue ( ATF 99 V 98 consid. 4 p. 102).</w:t>
      </w:r>
    </w:p>
    <w:p>
      <w:r>
        <w:rPr>
          <w:b/>
        </w:rPr>
        <w:t>E. 2.2</w:t>
      </w:r>
    </w:p>
    <w:p>
      <w:r>
        <w:t>Le jugement entrepris expose correctement les dispositions légales relatives aux notions d'incapacité de gain ( art. 7 al. 1 et 2 LPGA depuis le 1er janvier 2008 [sur le caractère objectif de l'appréciation de l'exigibilité, cf. ATF 135 V 215 consid. 7.2 et 7.3 p. 229 s.]) et d'invalidité ( art. 4 al. 1 LAI et art. 8 al. 1 LPGA ) et les règles légales régissant l'évaluation de l'invalidité des assurés exerçant une activité lucrative ( art. 16 LPGA en corrélation avec l' art. 28a al. 1 LAI depuis le 1er janvier 2008) et jurisprudentielles dont il y a lieu de relever qu'elles continuent à s'appliquer après l'entrée en vigueur, le 1er janvier 2008, de la novelle du 6 octobre 2006 [5e révision de l'AI] (arrêt 8C_373/2008 du 28 août 2008, consid. 2.1).</w:t>
      </w:r>
    </w:p>
    <w:p>
      <w:r>
        <w:rPr>
          <w:b/>
        </w:rPr>
        <w:t>E. 2.3</w:t>
      </w:r>
    </w:p>
    <w:p>
      <w:r>
        <w:t>Les règles et principes jurisprudentiels sur la valeur probante d'un rapport médical ( ATF 134 V 231 consid. 5.1 p. 232, 133 V 450 consid. 11.1.3 p. 469, 125 V 351 consid. 3a p. 352) sont exposés de manière correcte dans le jugement entrepris, auquel on peut renvoyer. Il n'existe pas, dans la procédure d'octroi ou de refus de prestations d'assurances sociales, de droit formel à une expertise menée par un médecin externe à l'assurance (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w:t>
      </w:r>
    </w:p>
    <w:p>
      <w:r>
        <w:rPr>
          <w:b/>
        </w:rPr>
        <w:t>E. 3</w:t>
      </w:r>
    </w:p>
    <w:p>
      <w:r>
        <w:t>La juridiction cantonale a retenu que la recourante avait présenté sur le plan somatique une capacité de travail complète dans une activité adaptée aux limitations fonctionnelles dès juin 2008.</w:t>
      </w:r>
    </w:p>
    <w:p>
      <w:r>
        <w:rPr>
          <w:b/>
        </w:rPr>
        <w:t>E. 3.1</w:t>
      </w:r>
    </w:p>
    <w:p>
      <w:r>
        <w:t>Les premiers juges s'en sont tenus aux éléments indiqués par la doctoresse P.________ dans son rapport du 9 mars 2009, le docteur G.________ dans son rapport du 23 mars 2009 et le docteur Z.________ dans son rapport du 8 mars 2010, en relevant que ces médecins avaient posé les mêmes diagnostics sur le plan somatique. Ils ont considéré que la doctoresse P.________ avait tenu compte dans sa lettre du 18 août 2010 d'éléments subjectifs dans son appréciation de la capacité de travail de la recourante et d'un nouveau diagnostic ("arthrose tri-compartimentale débutante") apparu après que la décision du 21 juin 2010 eut été rendue et dans sa lettre du 21 juin 2011 d'une aggravation des coxarthrose et gonarthrose gauches qui était également apparue postérieurement à la décision administrative litigieuse et qu'il ne pouvait dès lors en être tenu compte dans la présente procédure.</w:t>
      </w:r>
    </w:p>
    <w:p>
      <w:r>
        <w:rPr>
          <w:b/>
        </w:rPr>
        <w:t>E. 3.2</w:t>
      </w:r>
    </w:p>
    <w:p>
      <w:r>
        <w:t>La recourante reproche aux premiers juges de s'être fondés exclusivement sur le rapport du docteur Z.________ du 8 mars 2010, en écartant l'attestation médicale du 5 juillet 2010 et la lettre du 18 août 2010 de la doctoresse P.________, documents dont elle affirme qu'ils concernent son état de santé tel qu'il prévalait lors de la décision administrative litigieuse du 21 juin 2010 et qu'ils auraient dû être pris en considération dans la mesure où ils avaient trait à la situation antérieure à cette date. Alléguant que l'aggravation de la coxarthrose dont a fait état la doctoresse P.________ est un moyen destiné à prouver un fait survenu antérieurement à la décision administrative litigieuse et qu'il existait suffisamment de doutes en ce qui concerne la fiabilité et la pertinence des constatations du docteur Z.________ pour qu'une expertise médicale soit ordonnée, elle fait valoir que la juridiction cantonale a procédé à une appréciation arbitraire des preuves en établissant les faits de façon manifestement inexacte et en violation du droit, en particulier son droit d'être entendue.</w:t>
      </w:r>
    </w:p>
    <w:p>
      <w:r>
        <w:rPr>
          <w:b/>
        </w:rPr>
        <w:t>E. 3.3</w:t>
      </w:r>
    </w:p>
    <w:p>
      <w:r>
        <w:t>Pour autant, la recourante ne démontre pas le caractère insoutenable, voire arbitraire des éléments retenus par la juridiction cantonale par une argumentation qui réponde aux exigences de l'art. 42 al. 2, respectivement de l' art. 106 al. 2 LTF ( ATF 135 III 127 consid. 1.6 p. 130 et l'arrêt cité, 134 II 244 consid. 2.2 p. 246, 133 II 249 consid. 1.4.3 p. 254 s.). En particulier, elle n'indique pas en quoi les premiers juges, en ne tenant pas compte dans la présente procédure de l'évaluation de la capacité de travail par la doctoresse P.________ dans sa lettre du 18 août 2010 parce que des éléments subjectifs étaient intervenus dans son appréciation ni du nouveau diagnostic d'arthrose débutante du genou gauche parce qu'il était apparu après la décision du 21 juin 2010 ni de l'aggravation des coxarthrose et gonarthrose gauches dont a fait état la doctoresse P.________ dans sa lettre du 21 juin 2011 parce qu'elle était apparue postérieurement à la décision administrative litigieuse, auraient violé le droit fédéral dans l'application des règles pertinentes du droit matériel et de preuve ( art. 95 let. a LTF ). Non seulement la recourante ne discute nullement les raisons pour lesquelles la juridiction cantonale n'a pas tenu compte dans la présente procédure des éléments mentionnés ci-dessus, mais il n'est pas démontré que l'on se trouve dans la situation de l'arrêt ATF 99 V 98 (supra, consid. 2.1). Il ressort du jugement entrepris que dans l'attestation médicale du 5 juillet 2010 et les lettres des 18 août 2010 et 21 juin 2011, la doctoresse P.________ ne s'est pas exprimée sur le point de savoir quelle était sur le plan médical la situation de la recourante au moment où la décision du 21 juin 2010 a été rendue. On ne saurait dès lors tirer aucune conclusion sur ce point à partir des éléments que la doctoresse P.________ a fournis dans les documents mentionnés ci-dessus. Le recours est mal fondé de ce chef.</w:t>
      </w:r>
    </w:p>
    <w:p>
      <w:r>
        <w:rPr>
          <w:b/>
        </w:rPr>
        <w:t>E. 3.4</w:t>
      </w:r>
    </w:p>
    <w:p>
      <w:r>
        <w:t>Les premiers juges ont admis que le rapport du docteur Z.________ du 8 mars 2010 remplissait les critères jurisprudentiels permettant de reconnaître à un rapport médical pleine valeur probante ( ATF 134 V 231 consid. 5.1 p. 232, 133 V 450 consid. 11.1.3 p. 469, 125 V 351 consid. 3a p. 352). Ils ont relevé que ce rapport contenait une anamnèse détaillée et faisait état des plaintes exprimées par la recourante, que la description de la situation médicale, les diagnostics posés et les limitations fonctionnelles entraînées par ceux-ci étaient clairs et que les conclusions du docteur Z.________ étaient motivées et convaincantes.</w:t>
      </w:r>
    </w:p>
    <w:p>
      <w:r>
        <w:t>La recourante laisse entendre qu'il subsiste des doutes quant à la fiabilité et à la pertinence des constatations du docteur Z.________. Cela n'est toutefois nullement démontré. Même si ce médecin n'a pas mentionné de consultation auprès de la doctoresse K.________, il n'en demeure pas moins que, comme cela ressort du jugement entrepris, les douleurs ressenties par la recourante ont été prises en compte par le docteur Z.________, qui les a mentionnées dans son rapport du 8 mars 2010. La recourante se réfère aux troubles dégénératifs décrits par la doctoresse P.________ dans son rapport du 9 mars 2009 (discopathies à tous les niveaux, arthrose interfacettaire postérieure bilatérale de L3 à S1, sténose canalaire discrète de L1-L2 à L5-S1) et que ce médecin a évoqué dans un rapport médical d'évolution du 16 septembre 2009. Elle affirme qu'en ce qui concerne les troubles dégénératifs, aucun diagnostic clair et précis qui soit d'actualité au moment de la décision du 21 juin 2010 n'a été posé. Cependant, le docteur Z.________ a posé dans son rapport du 8 mars 2010 un diagnostic en ce qui concerne les troubles dégénératifs du rachis. Les affirmations de la recourante ne permettent pas de considérer que ce diagnostic n'était plus d'actualité lors de la décision administrative litigieuse du 21 juin 2010. Ainsi que cela ressort du jugement entrepris, le diagnostic retenu par le docteur Z.________ - soit des troubles statiques et dégénératifs du rachis avec rétrolisthésis L2/L3, L3/L4 et L4/L5, canal lombaire étroit, anomalie transitionnelle lombosacrée et petite hernie discale L1-L2 paramédiane gauche, sans conflit radiculaire - se fonde sur les examens radiologiques mis à sa disposition (radiographie de la colonne lombaire du 6 novembre 2008, IRM lombaire du 25 novembre 2008) et sur son examen clinique du 24 février 2010. Les constatations du docteur Z.________ sur le plan rachidien (rapport du 8 mars 2010, page 4) ne sont pas discutées par la recourante.</w:t>
      </w:r>
    </w:p>
    <w:p>
      <w:r>
        <w:t>Il ressort du jugement entrepris que la doctoresse P.________ dans son rapport du 9 mars 2009 et dans son rapport du 16 septembre 2009 adressé à l'assureur perte de gain et le docteur G.________ dans son rapport du 23 mars 2009 n'ont fait état d'aucun élément objectivement vérifiable qui aurait été ignoré dans le cadre du rapport du docteur Z.________ du 8 mars 2010 et qui soit suffisamment pertinent pour remettre en cause ses conclusions. La recourante ne se trouve donc pas dans la situation dont il est question dans l'arrêt ATF 135 V 465 consid. 4.6 p. 471 où subsistent des doutes, même faibles, quant à la fiabilité et à la pertinence des constatations médicales effectuées à l'interne. Le rapport du docteur Z.________ du 8 mars 2010 et le rapport du docteur O.________ du 19 mars 2010 suffisaient pour statuer en pleine connaissance de cause, de sorte que la juridiction cantonale pouvait se dispenser d'administrer d'autres preuves (appréciation anticipée des preuves), une telle manière de procéder ne violant pas le droit d'être entendu selon l' art. 29 al. 2 Cst. ( ATF 136 I 229 consid. 5.3 p. 236, 124 V 90 consid. 4b p. 94, 122 V 157 consid. 1d p. 162). Sur le vu des conclusions des docteurs Z.________ et O.________, les affirmations de la recourante (supra, consid. 3.2) ne permettent pas de considérer que les premiers juges, en retenant que la recourante avait présenté sur le plan somatique une capacité de travail complète dans une activité adaptée aux limitations fonctionnelles dès juin 2008, aient établi les faits de façon manifestement inexacte ou en violation du droit. Le recours est mal fondé de ce chef.</w:t>
      </w:r>
    </w:p>
    <w:p>
      <w:r>
        <w:rPr>
          <w:b/>
        </w:rPr>
        <w:t>E. 3.5</w:t>
      </w:r>
    </w:p>
    <w:p>
      <w:r>
        <w:t>Les premiers juges ont rejeté les griefs de la recourante à l'encontre de l'office AI lui reprochant d'avoir procédé de manière arbitraire et erronée à l'évaluation de son invalidité sous prétexte qu'il était irréaliste de s'attendre à ce qu'elle puisse retrouver un emploi sur un marché équilibré du travail. Ils ont relevé qu'au moment de la décision administrative litigieuse du 21 juin 2010, la recourante était âgée de 54 ans et n'était ainsi pas proche de l'âge donnant droit à la rente de vieillesse et qu'elle ne se trouvait hors du circuit professionnel que depuis une année seulement. Compte tenu des limitations fonctionnelles que la recourante présente, ils ont considéré qu'on devait admettre, au vu du large éventail d'activités simples et répétitives, sans formation nécessaire, que recouvrent les données ressortant de l'Enquête suisse sur la structure des salaires, qu'un nombre significatif d'entre elles était adapté au handicap dont elle souffre.</w:t>
      </w:r>
    </w:p>
    <w:p>
      <w:r>
        <w:t>Cela est contesté par la recourante, qui affirme que les nombreuses limitations fonctionnelles constatées médicalement ne permettent justement pas d'exercer une quelconque activité répétitive. Cette affirmation n'est toutefois étayée par aucune pièce au dossier. Elle est même contredite par le rapport du 8 mars 2010 du docteur Z.________ où ce médecin parle d'une activité strictement adaptée aux limitations fonctionnelles requises par la pathologie ostéoarticulaire, mais ne dit nulle part que les limitations fonctionnelles empêchent toute activité répétitive, ce qui ne découle pas non plus de la description qu'il a faite des limitations fonctionnelles. Enfin, la recourante entend tirer argument de l'absence de toute précision au dossier quant à une activité - concrète - dont les tâches seraient compatibles avec les multiples et importantes limitations fonctionnelles qu'elle présente. Ce moyen n'est cependant pas pertinent, attendu que pour évaluer l'invalidité, il n'y a pas lieu d'examiner la question de savoir si une personne invalide peut être placée eu égard aux conditions concrètes du marché du travail; il convient uniquement de se demander si elle pourrait encore exploiter économiquement sa capacité résiduelle de travail lorsque les places de travail disponibles correspondent à l'offre de la main d'oeuvre (arrêt [du Tribunal fédéral des assurances] I 198/97 du 7 juillet 1998, consid. 3b in VSI 1998 p. 296 et les références), ce qui est précisément le cas ainsi que l'a exposé ci-dessus la juridiction cantonale.</w:t>
      </w:r>
    </w:p>
    <w:p>
      <w:r>
        <w:t>En conséquence, les premiers juges, se ralliant à l'avis de l'office AI, ont considéré avec raison que la recourante pouvait encore pleinement exploiter économiquement sa capacité de gain résiduelle sur le marché du travail. Compte tenu d'une capacité de travail complète dans une activité adaptée aux limitations fonctionnelles depuis juin 2008 (supra, consid. 3.4), ils ont fixé le revenu d'invalide à 41'957 fr. 10 par année (valeur 2009), constatation qui lie la Cour de céans dans la mesure où elle repose sur une appréciation concrète des preuves (supra, consid. 1.2). Les affirmations de la recourante se référant aux incapacités de travail attestées par son médecin traitant ne permettent pas de considérer que la juridiction cantonale, en fixant le revenu d'invalide à 41'957 fr. 10 par année, ait établi les faits de façon manifestement inexacte ou en violation du droit. Le jugement entrepris conclut à une invalidité de 14.73 % (compte tenu d'un revenu sans invalidité de 49'203 fr. et du revenu d'invalide de 41'957 fr. 10 par année [valeur 2009]), taux ne donnant pas droit à une rente de l'assurance-invalidité, et est ainsi conforme au droit fédéral (supra, consid. 2.2).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 Les conditions d'octroi de l'assistance judiciaire gratuite étant réalisées ( art. 64 al. 1 et 2 LTF ), celle-ci est accordée à la recourante, son attention étant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